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B1A1183" w:rsidR="00BB4838" w:rsidRPr="005E0114" w:rsidRDefault="00200CB4" w:rsidP="00CE3FA5">
      <w:pPr>
        <w:pBdr>
          <w:top w:val="nil"/>
          <w:left w:val="nil"/>
          <w:bottom w:val="nil"/>
          <w:right w:val="nil"/>
          <w:between w:val="nil"/>
        </w:pBdr>
        <w:spacing w:after="0" w:line="240" w:lineRule="auto"/>
        <w:ind w:leftChars="653" w:left="1437" w:firstLineChars="0" w:firstLine="722"/>
        <w:jc w:val="right"/>
        <w:rPr>
          <w:rFonts w:ascii="Times New Roman" w:eastAsia="Times New Roman" w:hAnsi="Times New Roman" w:cs="Times New Roman"/>
          <w:color w:val="000000"/>
        </w:rPr>
      </w:pPr>
      <w:r w:rsidRPr="005E0114">
        <w:rPr>
          <w:rFonts w:ascii="Times New Roman" w:eastAsia="Times New Roman" w:hAnsi="Times New Roman" w:cs="Times New Roman"/>
          <w:color w:val="000000"/>
        </w:rPr>
        <w:t xml:space="preserve">Ciudad Autónoma de Buenos Aires, </w:t>
      </w:r>
      <w:r w:rsidR="000449B6" w:rsidRPr="005E0114">
        <w:rPr>
          <w:rFonts w:ascii="Times New Roman" w:eastAsia="Times New Roman" w:hAnsi="Times New Roman" w:cs="Times New Roman"/>
          <w:color w:val="000000"/>
        </w:rPr>
        <w:t>16</w:t>
      </w:r>
      <w:r w:rsidRPr="005E0114">
        <w:rPr>
          <w:rFonts w:ascii="Times New Roman" w:eastAsia="Times New Roman" w:hAnsi="Times New Roman" w:cs="Times New Roman"/>
          <w:color w:val="000000"/>
        </w:rPr>
        <w:t xml:space="preserve"> de </w:t>
      </w:r>
      <w:r w:rsidR="008E28A6" w:rsidRPr="005E0114">
        <w:rPr>
          <w:rFonts w:ascii="Times New Roman" w:eastAsia="Times New Roman" w:hAnsi="Times New Roman" w:cs="Times New Roman"/>
          <w:color w:val="000000"/>
        </w:rPr>
        <w:t>febrero de 2022</w:t>
      </w:r>
    </w:p>
    <w:p w14:paraId="00000003" w14:textId="77777777" w:rsidR="00BB4838" w:rsidRPr="005E0114" w:rsidRDefault="00BB4838" w:rsidP="008E25F1">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rPr>
      </w:pPr>
    </w:p>
    <w:p w14:paraId="6A465D53" w14:textId="77777777" w:rsidR="0020113E" w:rsidRPr="005E0114" w:rsidRDefault="0020113E" w:rsidP="008E25F1">
      <w:pPr>
        <w:widowControl w:val="0"/>
        <w:spacing w:after="0" w:line="240" w:lineRule="auto"/>
        <w:ind w:left="-2" w:firstLineChars="0" w:firstLine="0"/>
        <w:jc w:val="both"/>
        <w:rPr>
          <w:rFonts w:ascii="Times New Roman" w:eastAsia="Times New Roman" w:hAnsi="Times New Roman" w:cs="Times New Roman"/>
        </w:rPr>
      </w:pPr>
    </w:p>
    <w:p w14:paraId="00000004" w14:textId="33C366AA" w:rsidR="00BB4838" w:rsidRPr="005E0114" w:rsidRDefault="00200CB4" w:rsidP="008E25F1">
      <w:pPr>
        <w:widowControl w:val="0"/>
        <w:spacing w:after="0" w:line="240" w:lineRule="auto"/>
        <w:ind w:left="-2" w:firstLineChars="0" w:firstLine="0"/>
        <w:jc w:val="both"/>
        <w:rPr>
          <w:rFonts w:ascii="Times New Roman" w:eastAsia="Times New Roman" w:hAnsi="Times New Roman" w:cs="Times New Roman"/>
        </w:rPr>
      </w:pPr>
      <w:r w:rsidRPr="005E0114">
        <w:rPr>
          <w:rFonts w:ascii="Times New Roman" w:eastAsia="Times New Roman" w:hAnsi="Times New Roman" w:cs="Times New Roman"/>
        </w:rPr>
        <w:t>Señores</w:t>
      </w:r>
    </w:p>
    <w:p w14:paraId="00000005" w14:textId="77777777" w:rsidR="00BB4838" w:rsidRPr="005E0114"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5E0114">
        <w:rPr>
          <w:rFonts w:ascii="Times New Roman" w:eastAsia="Times New Roman" w:hAnsi="Times New Roman" w:cs="Times New Roman"/>
          <w:b/>
          <w:color w:val="000000"/>
          <w:u w:val="single"/>
        </w:rPr>
        <w:t>Comisión Nacional de Valores</w:t>
      </w:r>
    </w:p>
    <w:p w14:paraId="00000006" w14:textId="77777777" w:rsidR="00BB4838" w:rsidRPr="005E0114"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5E0114">
        <w:rPr>
          <w:rFonts w:ascii="Times New Roman" w:eastAsia="Times New Roman" w:hAnsi="Times New Roman" w:cs="Times New Roman"/>
          <w:b/>
          <w:color w:val="000000"/>
          <w:u w:val="single"/>
        </w:rPr>
        <w:t>Bolsas y Mercados Argentinos S.A.</w:t>
      </w:r>
    </w:p>
    <w:p w14:paraId="00000007" w14:textId="77777777" w:rsidR="00BB4838" w:rsidRPr="005E0114" w:rsidRDefault="00200CB4" w:rsidP="008E25F1">
      <w:pPr>
        <w:widowControl w:val="0"/>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u w:val="single"/>
        </w:rPr>
      </w:pPr>
      <w:r w:rsidRPr="005E0114">
        <w:rPr>
          <w:rFonts w:ascii="Times New Roman" w:eastAsia="Times New Roman" w:hAnsi="Times New Roman" w:cs="Times New Roman"/>
          <w:b/>
          <w:color w:val="000000"/>
          <w:u w:val="single"/>
        </w:rPr>
        <w:t>Mercado Abierto Electrónico S.A.</w:t>
      </w:r>
    </w:p>
    <w:p w14:paraId="00000008" w14:textId="77777777" w:rsidR="00BB4838" w:rsidRPr="005E0114" w:rsidRDefault="00200CB4" w:rsidP="008E25F1">
      <w:pPr>
        <w:widowControl w:val="0"/>
        <w:spacing w:after="0" w:line="240" w:lineRule="auto"/>
        <w:ind w:left="-2" w:firstLineChars="0" w:firstLine="0"/>
        <w:jc w:val="both"/>
        <w:rPr>
          <w:rFonts w:ascii="Times New Roman" w:eastAsia="Times New Roman" w:hAnsi="Times New Roman" w:cs="Times New Roman"/>
          <w:u w:val="single"/>
        </w:rPr>
      </w:pPr>
      <w:r w:rsidRPr="005E0114">
        <w:rPr>
          <w:rFonts w:ascii="Times New Roman" w:eastAsia="Times New Roman" w:hAnsi="Times New Roman" w:cs="Times New Roman"/>
          <w:u w:val="single"/>
        </w:rPr>
        <w:t>Presente</w:t>
      </w:r>
    </w:p>
    <w:p w14:paraId="00000009" w14:textId="77777777" w:rsidR="00BB4838" w:rsidRPr="005E0114" w:rsidRDefault="00BB4838" w:rsidP="008E25F1">
      <w:pPr>
        <w:widowControl w:val="0"/>
        <w:spacing w:after="0" w:line="240" w:lineRule="auto"/>
        <w:ind w:left="-2" w:firstLineChars="0" w:firstLine="0"/>
        <w:jc w:val="both"/>
        <w:rPr>
          <w:rFonts w:ascii="Times New Roman" w:eastAsia="Times New Roman" w:hAnsi="Times New Roman" w:cs="Times New Roman"/>
        </w:rPr>
      </w:pPr>
    </w:p>
    <w:p w14:paraId="0000000A" w14:textId="77777777" w:rsidR="00BB4838" w:rsidRPr="005E0114" w:rsidRDefault="00BB4838" w:rsidP="008E25F1">
      <w:pPr>
        <w:widowControl w:val="0"/>
        <w:spacing w:after="0" w:line="240" w:lineRule="auto"/>
        <w:ind w:left="-2" w:firstLineChars="0" w:firstLine="0"/>
        <w:jc w:val="both"/>
        <w:rPr>
          <w:rFonts w:ascii="Times New Roman" w:eastAsia="Times New Roman" w:hAnsi="Times New Roman" w:cs="Times New Roman"/>
          <w:b/>
        </w:rPr>
      </w:pPr>
    </w:p>
    <w:p w14:paraId="1B6D9142" w14:textId="77777777" w:rsidR="00223E01" w:rsidRPr="005E0114" w:rsidRDefault="00200CB4" w:rsidP="008E25F1">
      <w:pPr>
        <w:pBdr>
          <w:top w:val="nil"/>
          <w:left w:val="nil"/>
          <w:bottom w:val="nil"/>
          <w:right w:val="nil"/>
          <w:between w:val="nil"/>
        </w:pBdr>
        <w:tabs>
          <w:tab w:val="left" w:pos="4678"/>
        </w:tabs>
        <w:spacing w:after="0" w:line="240" w:lineRule="auto"/>
        <w:ind w:left="-2" w:firstLineChars="0" w:firstLine="4680"/>
        <w:jc w:val="both"/>
        <w:rPr>
          <w:rFonts w:ascii="Times New Roman" w:eastAsia="Times New Roman" w:hAnsi="Times New Roman" w:cs="Times New Roman"/>
          <w:b/>
          <w:i/>
          <w:color w:val="000000"/>
        </w:rPr>
      </w:pPr>
      <w:r w:rsidRPr="005E0114">
        <w:rPr>
          <w:rFonts w:ascii="Times New Roman" w:eastAsia="Times New Roman" w:hAnsi="Times New Roman" w:cs="Times New Roman"/>
          <w:b/>
          <w:color w:val="000000"/>
          <w:u w:val="single"/>
        </w:rPr>
        <w:t>Ref.</w:t>
      </w:r>
      <w:r w:rsidRPr="005E0114">
        <w:rPr>
          <w:rFonts w:ascii="Times New Roman" w:eastAsia="Times New Roman" w:hAnsi="Times New Roman" w:cs="Times New Roman"/>
          <w:b/>
          <w:color w:val="000000"/>
        </w:rPr>
        <w:t xml:space="preserve">: </w:t>
      </w:r>
      <w:r w:rsidRPr="005E0114">
        <w:rPr>
          <w:rFonts w:ascii="Times New Roman" w:eastAsia="Times New Roman" w:hAnsi="Times New Roman" w:cs="Times New Roman"/>
          <w:b/>
          <w:i/>
          <w:color w:val="000000"/>
        </w:rPr>
        <w:t xml:space="preserve">TGLT S.A. </w:t>
      </w:r>
      <w:r w:rsidRPr="005E0114">
        <w:rPr>
          <w:rFonts w:ascii="Times New Roman" w:eastAsia="Times New Roman" w:hAnsi="Times New Roman" w:cs="Times New Roman"/>
          <w:b/>
          <w:color w:val="000000"/>
        </w:rPr>
        <w:t>-</w:t>
      </w:r>
      <w:r w:rsidRPr="005E0114">
        <w:rPr>
          <w:rFonts w:ascii="Times New Roman" w:eastAsia="Times New Roman" w:hAnsi="Times New Roman" w:cs="Times New Roman"/>
          <w:b/>
          <w:i/>
          <w:color w:val="000000"/>
        </w:rPr>
        <w:t xml:space="preserve"> Hecho relevante. </w:t>
      </w:r>
    </w:p>
    <w:p w14:paraId="0000000B" w14:textId="1E14B35A" w:rsidR="00BB4838" w:rsidRPr="005E0114" w:rsidRDefault="00200CB4" w:rsidP="008E25F1">
      <w:pPr>
        <w:pBdr>
          <w:top w:val="nil"/>
          <w:left w:val="nil"/>
          <w:bottom w:val="nil"/>
          <w:right w:val="nil"/>
          <w:between w:val="nil"/>
        </w:pBdr>
        <w:spacing w:after="0" w:line="240" w:lineRule="auto"/>
        <w:ind w:leftChars="2126" w:left="4677" w:firstLineChars="0" w:firstLine="0"/>
        <w:jc w:val="both"/>
        <w:rPr>
          <w:rFonts w:ascii="Times New Roman" w:eastAsia="Times New Roman" w:hAnsi="Times New Roman" w:cs="Times New Roman"/>
          <w:b/>
          <w:color w:val="000000"/>
        </w:rPr>
      </w:pPr>
      <w:r w:rsidRPr="005E0114">
        <w:rPr>
          <w:rFonts w:ascii="Times New Roman" w:eastAsia="Times New Roman" w:hAnsi="Times New Roman" w:cs="Times New Roman"/>
          <w:b/>
          <w:i/>
          <w:color w:val="000000"/>
        </w:rPr>
        <w:t xml:space="preserve">Solicitud de Consentimiento – Obligaciones </w:t>
      </w:r>
      <w:r w:rsidR="00BA3289" w:rsidRPr="005E0114">
        <w:rPr>
          <w:rFonts w:ascii="Times New Roman" w:eastAsia="Times New Roman" w:hAnsi="Times New Roman" w:cs="Times New Roman"/>
          <w:b/>
          <w:i/>
          <w:color w:val="000000"/>
        </w:rPr>
        <w:t>Negociables Clase XVI</w:t>
      </w:r>
    </w:p>
    <w:p w14:paraId="0000000C" w14:textId="77777777" w:rsidR="00BB4838" w:rsidRPr="005E0114" w:rsidRDefault="00BB4838" w:rsidP="008E25F1">
      <w:pPr>
        <w:spacing w:after="0" w:line="240" w:lineRule="auto"/>
        <w:ind w:left="-2" w:firstLineChars="0" w:firstLine="0"/>
        <w:jc w:val="both"/>
        <w:rPr>
          <w:rFonts w:ascii="Times New Roman" w:eastAsia="Times New Roman" w:hAnsi="Times New Roman" w:cs="Times New Roman"/>
        </w:rPr>
      </w:pPr>
    </w:p>
    <w:p w14:paraId="0000000D" w14:textId="53292DD7" w:rsidR="00BB4838" w:rsidRPr="005E0114" w:rsidRDefault="00200CB4" w:rsidP="008E25F1">
      <w:pPr>
        <w:spacing w:after="0" w:line="240" w:lineRule="auto"/>
        <w:ind w:left="-2" w:firstLineChars="0" w:firstLine="0"/>
        <w:jc w:val="both"/>
        <w:rPr>
          <w:rFonts w:ascii="Times New Roman" w:eastAsia="Times New Roman" w:hAnsi="Times New Roman" w:cs="Times New Roman"/>
        </w:rPr>
      </w:pPr>
      <w:r w:rsidRPr="005E0114">
        <w:rPr>
          <w:rFonts w:ascii="Times New Roman" w:eastAsia="Times New Roman" w:hAnsi="Times New Roman" w:cs="Times New Roman"/>
        </w:rPr>
        <w:t>De mi</w:t>
      </w:r>
      <w:r w:rsidR="00F77139" w:rsidRPr="005E0114">
        <w:rPr>
          <w:rFonts w:ascii="Times New Roman" w:eastAsia="Times New Roman" w:hAnsi="Times New Roman" w:cs="Times New Roman"/>
        </w:rPr>
        <w:t xml:space="preserve"> mayor</w:t>
      </w:r>
      <w:r w:rsidRPr="005E0114">
        <w:rPr>
          <w:rFonts w:ascii="Times New Roman" w:eastAsia="Times New Roman" w:hAnsi="Times New Roman" w:cs="Times New Roman"/>
        </w:rPr>
        <w:t xml:space="preserve"> consideración:</w:t>
      </w:r>
    </w:p>
    <w:p w14:paraId="0000000E" w14:textId="77777777" w:rsidR="00BB4838" w:rsidRPr="005E0114" w:rsidRDefault="00BB4838" w:rsidP="008E25F1">
      <w:pPr>
        <w:spacing w:after="0" w:line="240" w:lineRule="auto"/>
        <w:ind w:left="-2" w:firstLineChars="0" w:firstLine="0"/>
        <w:jc w:val="both"/>
        <w:rPr>
          <w:rFonts w:ascii="Times New Roman" w:eastAsia="Times New Roman" w:hAnsi="Times New Roman" w:cs="Times New Roman"/>
        </w:rPr>
      </w:pPr>
    </w:p>
    <w:p w14:paraId="5B57A807" w14:textId="0BF0F74A" w:rsidR="00AE561B" w:rsidRPr="005E0114" w:rsidRDefault="00200CB4" w:rsidP="004C2D67">
      <w:pPr>
        <w:spacing w:after="0" w:line="240" w:lineRule="auto"/>
        <w:ind w:left="-2" w:firstLineChars="0" w:firstLine="0"/>
        <w:jc w:val="both"/>
        <w:rPr>
          <w:rFonts w:ascii="Times New Roman" w:eastAsia="Times New Roman" w:hAnsi="Times New Roman" w:cs="Times New Roman"/>
        </w:rPr>
      </w:pPr>
      <w:r w:rsidRPr="005E0114">
        <w:rPr>
          <w:rFonts w:ascii="Times New Roman" w:eastAsia="Times New Roman" w:hAnsi="Times New Roman" w:cs="Times New Roman"/>
        </w:rPr>
        <w:t>Tengo el agrado de dirigirme a Uds., en mi carácter de Responsable de Relaciones con el Mercado de TGLT S.A. (la “</w:t>
      </w:r>
      <w:r w:rsidRPr="005E0114">
        <w:rPr>
          <w:rFonts w:ascii="Times New Roman" w:eastAsia="Times New Roman" w:hAnsi="Times New Roman" w:cs="Times New Roman"/>
          <w:u w:val="single"/>
        </w:rPr>
        <w:t>Sociedad</w:t>
      </w:r>
      <w:r w:rsidR="00BA3289" w:rsidRPr="005E0114">
        <w:rPr>
          <w:rFonts w:ascii="Times New Roman" w:eastAsia="Times New Roman" w:hAnsi="Times New Roman" w:cs="Times New Roman"/>
        </w:rPr>
        <w:t xml:space="preserve">”), </w:t>
      </w:r>
      <w:r w:rsidR="00AE561B" w:rsidRPr="005E0114">
        <w:rPr>
          <w:rFonts w:ascii="Times New Roman" w:eastAsia="Times New Roman" w:hAnsi="Times New Roman" w:cs="Times New Roman"/>
        </w:rPr>
        <w:t>en relación con</w:t>
      </w:r>
      <w:r w:rsidR="004C2D67" w:rsidRPr="005E0114">
        <w:rPr>
          <w:rFonts w:ascii="Times New Roman" w:eastAsia="Times New Roman" w:hAnsi="Times New Roman" w:cs="Times New Roman"/>
        </w:rPr>
        <w:t xml:space="preserve"> el</w:t>
      </w:r>
      <w:r w:rsidR="005A63EA" w:rsidRPr="005E0114">
        <w:rPr>
          <w:rFonts w:ascii="Times New Roman" w:eastAsia="Times New Roman" w:hAnsi="Times New Roman" w:cs="Times New Roman"/>
        </w:rPr>
        <w:t xml:space="preserve"> (i) incumplimiento bajo las obligaciones negociables clase XVI informado por la Sociedad a través del hecho relevante #2840083 publicado por la Sociedad en la Autopista de la Información Financiera de la Comisión Nacional de Valores (la “</w:t>
      </w:r>
      <w:r w:rsidR="005A63EA" w:rsidRPr="005E0114">
        <w:rPr>
          <w:rFonts w:ascii="Times New Roman" w:eastAsia="Times New Roman" w:hAnsi="Times New Roman" w:cs="Times New Roman"/>
          <w:u w:val="single"/>
        </w:rPr>
        <w:t>AIF</w:t>
      </w:r>
      <w:r w:rsidR="005A63EA" w:rsidRPr="005E0114">
        <w:rPr>
          <w:rFonts w:ascii="Times New Roman" w:eastAsia="Times New Roman" w:hAnsi="Times New Roman" w:cs="Times New Roman"/>
        </w:rPr>
        <w:t>”); y (ii)</w:t>
      </w:r>
      <w:r w:rsidR="00AE561B" w:rsidRPr="005E0114">
        <w:rPr>
          <w:rFonts w:ascii="Times New Roman" w:eastAsia="Times New Roman" w:hAnsi="Times New Roman" w:cs="Times New Roman"/>
        </w:rPr>
        <w:t xml:space="preserve"> </w:t>
      </w:r>
      <w:r w:rsidR="004C2D67" w:rsidRPr="005E0114">
        <w:rPr>
          <w:rFonts w:ascii="Times New Roman" w:eastAsia="Times New Roman" w:hAnsi="Times New Roman" w:cs="Times New Roman"/>
        </w:rPr>
        <w:t xml:space="preserve">lo acordado en el </w:t>
      </w:r>
      <w:r w:rsidR="00AE561B" w:rsidRPr="005E0114">
        <w:rPr>
          <w:rFonts w:ascii="Times New Roman" w:eastAsia="Times New Roman" w:hAnsi="Times New Roman" w:cs="Times New Roman"/>
          <w:lang w:bidi="es-ES"/>
        </w:rPr>
        <w:t xml:space="preserve">memorándum de entendimiento no vinculante celebrado entre Banco </w:t>
      </w:r>
      <w:proofErr w:type="spellStart"/>
      <w:r w:rsidR="00AE561B" w:rsidRPr="005E0114">
        <w:rPr>
          <w:rFonts w:ascii="Times New Roman" w:eastAsia="Times New Roman" w:hAnsi="Times New Roman" w:cs="Times New Roman"/>
          <w:lang w:bidi="es-ES"/>
        </w:rPr>
        <w:t>Itaú</w:t>
      </w:r>
      <w:proofErr w:type="spellEnd"/>
      <w:r w:rsidR="00AE561B" w:rsidRPr="005E0114">
        <w:rPr>
          <w:rFonts w:ascii="Times New Roman" w:eastAsia="Times New Roman" w:hAnsi="Times New Roman" w:cs="Times New Roman"/>
          <w:lang w:bidi="es-ES"/>
        </w:rPr>
        <w:t xml:space="preserve"> Argentina S.A. y la Sociedad el 20 de enero de 2022</w:t>
      </w:r>
      <w:r w:rsidR="005A63EA" w:rsidRPr="005E0114">
        <w:rPr>
          <w:rFonts w:ascii="Times New Roman" w:eastAsia="Times New Roman" w:hAnsi="Times New Roman" w:cs="Times New Roman"/>
          <w:lang w:bidi="es-ES"/>
        </w:rPr>
        <w:t xml:space="preserve">, cuya celebración se informó en el </w:t>
      </w:r>
      <w:r w:rsidR="00AE561B" w:rsidRPr="005E0114">
        <w:rPr>
          <w:rFonts w:ascii="Times New Roman" w:eastAsia="Times New Roman" w:hAnsi="Times New Roman" w:cs="Times New Roman"/>
        </w:rPr>
        <w:t xml:space="preserve">hecho relevante #2847344, publicado por la Sociedad en la </w:t>
      </w:r>
      <w:r w:rsidR="005A63EA" w:rsidRPr="005E0114">
        <w:rPr>
          <w:rFonts w:ascii="Times New Roman" w:eastAsia="Times New Roman" w:hAnsi="Times New Roman" w:cs="Times New Roman"/>
        </w:rPr>
        <w:t>AIF, a fin de informar que en el día de la fecha el Directorio de la Sociedad resolvió</w:t>
      </w:r>
      <w:r w:rsidR="004C2D67" w:rsidRPr="005E0114">
        <w:rPr>
          <w:rFonts w:ascii="Times New Roman" w:eastAsia="Times New Roman" w:hAnsi="Times New Roman" w:cs="Times New Roman"/>
        </w:rPr>
        <w:t>:</w:t>
      </w:r>
      <w:r w:rsidR="005A63EA" w:rsidRPr="005E0114">
        <w:rPr>
          <w:rFonts w:ascii="Times New Roman" w:eastAsia="Times New Roman" w:hAnsi="Times New Roman" w:cs="Times New Roman"/>
        </w:rPr>
        <w:t xml:space="preserve"> </w:t>
      </w:r>
    </w:p>
    <w:p w14:paraId="48857BFC" w14:textId="77777777" w:rsidR="00AE561B" w:rsidRDefault="00AE561B" w:rsidP="00AE561B">
      <w:pPr>
        <w:spacing w:after="0" w:line="240" w:lineRule="auto"/>
        <w:ind w:left="-2" w:firstLineChars="0" w:firstLine="0"/>
        <w:jc w:val="both"/>
        <w:rPr>
          <w:rFonts w:ascii="Arial" w:eastAsia="Times New Roman" w:hAnsi="Arial" w:cs="Arial"/>
        </w:rPr>
      </w:pPr>
    </w:p>
    <w:p w14:paraId="0F9A8096" w14:textId="77777777" w:rsidR="005E0114" w:rsidRDefault="005E0114" w:rsidP="005E0114">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b/>
        </w:rPr>
        <w:t>(a)</w:t>
      </w:r>
      <w:r>
        <w:rPr>
          <w:rFonts w:ascii="Times New Roman" w:eastAsia="Times New Roman" w:hAnsi="Times New Roman" w:cs="Times New Roman"/>
        </w:rPr>
        <w:t xml:space="preserve"> </w:t>
      </w:r>
      <w:r w:rsidRPr="0032028C">
        <w:rPr>
          <w:rFonts w:ascii="Times New Roman" w:eastAsia="Times New Roman" w:hAnsi="Times New Roman" w:cs="Times New Roman"/>
        </w:rPr>
        <w:t>Sujeto a la obtención del consentimiento de la Mayoría Necesaria (conforme dicho término se define más adelante)</w:t>
      </w:r>
      <w:r>
        <w:rPr>
          <w:rFonts w:ascii="Times New Roman" w:eastAsia="Times New Roman" w:hAnsi="Times New Roman" w:cs="Times New Roman"/>
        </w:rPr>
        <w:t>, s</w:t>
      </w:r>
      <w:r w:rsidRPr="0032028C">
        <w:rPr>
          <w:rFonts w:ascii="Times New Roman" w:eastAsia="Times New Roman" w:hAnsi="Times New Roman" w:cs="Times New Roman"/>
        </w:rPr>
        <w:t>olicitar mediante la presente solicitud de consentimiento (la “</w:t>
      </w:r>
      <w:r w:rsidRPr="0032028C">
        <w:rPr>
          <w:rFonts w:ascii="Times New Roman" w:eastAsia="Times New Roman" w:hAnsi="Times New Roman" w:cs="Times New Roman"/>
          <w:u w:val="single"/>
        </w:rPr>
        <w:t>Solicitud de Consentimiento</w:t>
      </w:r>
      <w:r>
        <w:rPr>
          <w:rFonts w:ascii="Times New Roman" w:eastAsia="Times New Roman" w:hAnsi="Times New Roman" w:cs="Times New Roman"/>
        </w:rPr>
        <w:t>”):</w:t>
      </w:r>
    </w:p>
    <w:p w14:paraId="3543B8D5" w14:textId="77777777" w:rsidR="005E0114" w:rsidRDefault="005E0114" w:rsidP="005E0114">
      <w:pPr>
        <w:spacing w:after="0" w:line="240" w:lineRule="auto"/>
        <w:ind w:left="-2" w:firstLineChars="0" w:firstLine="0"/>
        <w:jc w:val="both"/>
        <w:rPr>
          <w:rFonts w:ascii="Times New Roman" w:eastAsia="Times New Roman" w:hAnsi="Times New Roman" w:cs="Times New Roman"/>
        </w:rPr>
      </w:pPr>
    </w:p>
    <w:p w14:paraId="0216A204" w14:textId="77777777" w:rsidR="005E0114" w:rsidRDefault="005E0114" w:rsidP="005E0114">
      <w:pPr>
        <w:spacing w:after="0" w:line="240" w:lineRule="auto"/>
        <w:ind w:left="-2" w:firstLineChars="0" w:firstLine="0"/>
        <w:jc w:val="both"/>
        <w:rPr>
          <w:rFonts w:ascii="Times New Roman" w:eastAsia="Times New Roman" w:hAnsi="Times New Roman" w:cs="Times New Roman"/>
          <w:lang w:val="es-AR" w:bidi="es-ES"/>
        </w:rPr>
      </w:pPr>
      <w:r w:rsidRPr="00624328">
        <w:rPr>
          <w:rFonts w:ascii="Times New Roman" w:eastAsia="Times New Roman" w:hAnsi="Times New Roman" w:cs="Times New Roman"/>
          <w:b/>
        </w:rPr>
        <w:t>(1)</w:t>
      </w:r>
      <w:r>
        <w:rPr>
          <w:rFonts w:ascii="Times New Roman" w:eastAsia="Times New Roman" w:hAnsi="Times New Roman" w:cs="Times New Roman"/>
          <w:b/>
        </w:rPr>
        <w:t xml:space="preserve"> </w:t>
      </w:r>
      <w:r>
        <w:rPr>
          <w:rFonts w:ascii="Times New Roman" w:eastAsia="Times New Roman" w:hAnsi="Times New Roman" w:cs="Times New Roman"/>
        </w:rPr>
        <w:t>la dispensa</w:t>
      </w:r>
      <w:r w:rsidRPr="0032028C">
        <w:rPr>
          <w:rFonts w:ascii="Times New Roman" w:eastAsia="Times New Roman" w:hAnsi="Times New Roman" w:cs="Times New Roman"/>
        </w:rPr>
        <w:t xml:space="preserve"> de los tenedores </w:t>
      </w:r>
      <w:r>
        <w:rPr>
          <w:rFonts w:ascii="Times New Roman" w:eastAsia="Times New Roman" w:hAnsi="Times New Roman" w:cs="Times New Roman"/>
        </w:rPr>
        <w:t>(los “</w:t>
      </w:r>
      <w:r w:rsidRPr="00F86E70">
        <w:rPr>
          <w:rFonts w:ascii="Times New Roman" w:eastAsia="Times New Roman" w:hAnsi="Times New Roman" w:cs="Times New Roman"/>
          <w:u w:val="single"/>
        </w:rPr>
        <w:t>Tenedores</w:t>
      </w:r>
      <w:r>
        <w:rPr>
          <w:rFonts w:ascii="Times New Roman" w:eastAsia="Times New Roman" w:hAnsi="Times New Roman" w:cs="Times New Roman"/>
        </w:rPr>
        <w:t xml:space="preserve">”) de las </w:t>
      </w:r>
      <w:r w:rsidRPr="0032028C">
        <w:rPr>
          <w:rFonts w:ascii="Times New Roman" w:eastAsia="Times New Roman" w:hAnsi="Times New Roman" w:cs="Times New Roman"/>
          <w:lang w:bidi="es-ES"/>
        </w:rPr>
        <w:t xml:space="preserve">obligaciones negociables Clase XVI, garantizadas, a tasa de interés fija incremental, con vencimiento el 11 de febrero de 2023, por un valor nominal de US$ 20.305.100 (Dólares Estadounidenses veinte millones trescientos cinco mil cien) (ISIN: ARTGLT5600I6) </w:t>
      </w:r>
      <w:r>
        <w:rPr>
          <w:rFonts w:ascii="Times New Roman" w:eastAsia="Times New Roman" w:hAnsi="Times New Roman" w:cs="Times New Roman"/>
          <w:lang w:bidi="es-ES"/>
        </w:rPr>
        <w:t xml:space="preserve">emitidas por la Sociedad </w:t>
      </w:r>
      <w:r w:rsidRPr="0032028C">
        <w:rPr>
          <w:rFonts w:ascii="Times New Roman" w:eastAsia="Times New Roman" w:hAnsi="Times New Roman" w:cs="Times New Roman"/>
          <w:lang w:bidi="es-ES"/>
        </w:rPr>
        <w:t>(las “</w:t>
      </w:r>
      <w:r w:rsidRPr="0032028C">
        <w:rPr>
          <w:rFonts w:ascii="Times New Roman" w:eastAsia="Times New Roman" w:hAnsi="Times New Roman" w:cs="Times New Roman"/>
          <w:u w:val="single"/>
          <w:lang w:bidi="es-ES"/>
        </w:rPr>
        <w:t>Obligaciones Negociables</w:t>
      </w:r>
      <w:r w:rsidRPr="0032028C">
        <w:rPr>
          <w:rFonts w:ascii="Times New Roman" w:eastAsia="Times New Roman" w:hAnsi="Times New Roman" w:cs="Times New Roman"/>
          <w:lang w:bidi="es-ES"/>
        </w:rPr>
        <w:t>”)</w:t>
      </w:r>
      <w:r>
        <w:rPr>
          <w:rFonts w:ascii="Times New Roman" w:eastAsia="Times New Roman" w:hAnsi="Times New Roman" w:cs="Times New Roman"/>
          <w:lang w:bidi="es-ES"/>
        </w:rPr>
        <w:t xml:space="preserve"> </w:t>
      </w:r>
      <w:r w:rsidRPr="0032028C">
        <w:rPr>
          <w:rFonts w:ascii="Times New Roman" w:eastAsia="Times New Roman" w:hAnsi="Times New Roman" w:cs="Times New Roman"/>
        </w:rPr>
        <w:t>en el marco del Programa Global de Emisión de Obligaciones Negociables por un valor nominal de hasta US$50.000.000 (Dólares Estadounidenses cincuenta millones) (o su equivalente en otras monedas) (el “</w:t>
      </w:r>
      <w:r w:rsidRPr="0032028C">
        <w:rPr>
          <w:rFonts w:ascii="Times New Roman" w:eastAsia="Times New Roman" w:hAnsi="Times New Roman" w:cs="Times New Roman"/>
          <w:u w:val="single"/>
        </w:rPr>
        <w:t>Programa</w:t>
      </w:r>
      <w:r w:rsidRPr="0032028C">
        <w:rPr>
          <w:rFonts w:ascii="Times New Roman" w:eastAsia="Times New Roman" w:hAnsi="Times New Roman" w:cs="Times New Roman"/>
        </w:rPr>
        <w:t>”), y de acuerdo a los términos y condiciones establecidos en: (i) el prospecto del Programa de fecha 27 de enero de 2020 (el “</w:t>
      </w:r>
      <w:r w:rsidRPr="0032028C">
        <w:rPr>
          <w:rFonts w:ascii="Times New Roman" w:eastAsia="Times New Roman" w:hAnsi="Times New Roman" w:cs="Times New Roman"/>
          <w:u w:val="single"/>
        </w:rPr>
        <w:t>Prospecto</w:t>
      </w:r>
      <w:r w:rsidRPr="0032028C">
        <w:rPr>
          <w:rFonts w:ascii="Times New Roman" w:eastAsia="Times New Roman" w:hAnsi="Times New Roman" w:cs="Times New Roman"/>
        </w:rPr>
        <w:t>”); (ii) el suplemento de prospecto de las Obligaciones Negociables de fecha 3 de febrero de 2020, según fuera modificado por las adendas de fecha 7 de mayo de 2021</w:t>
      </w:r>
      <w:r>
        <w:rPr>
          <w:rFonts w:ascii="Times New Roman" w:eastAsia="Times New Roman" w:hAnsi="Times New Roman" w:cs="Times New Roman"/>
        </w:rPr>
        <w:t>,</w:t>
      </w:r>
      <w:r w:rsidRPr="0032028C">
        <w:rPr>
          <w:rFonts w:ascii="Times New Roman" w:eastAsia="Times New Roman" w:hAnsi="Times New Roman" w:cs="Times New Roman"/>
        </w:rPr>
        <w:t xml:space="preserve"> 10 de agosto de 2021</w:t>
      </w:r>
      <w:r>
        <w:rPr>
          <w:rFonts w:ascii="Times New Roman" w:eastAsia="Times New Roman" w:hAnsi="Times New Roman" w:cs="Times New Roman"/>
        </w:rPr>
        <w:t xml:space="preserve"> y 5 de octubre de 2021</w:t>
      </w:r>
      <w:r w:rsidRPr="0032028C">
        <w:rPr>
          <w:rFonts w:ascii="Times New Roman" w:eastAsia="Times New Roman" w:hAnsi="Times New Roman" w:cs="Times New Roman"/>
        </w:rPr>
        <w:t xml:space="preserve"> (el “</w:t>
      </w:r>
      <w:r w:rsidRPr="0032028C">
        <w:rPr>
          <w:rFonts w:ascii="Times New Roman" w:eastAsia="Times New Roman" w:hAnsi="Times New Roman" w:cs="Times New Roman"/>
          <w:u w:val="single"/>
        </w:rPr>
        <w:t>Suplemento de Prospecto</w:t>
      </w:r>
      <w:r w:rsidRPr="0032028C">
        <w:rPr>
          <w:rFonts w:ascii="Times New Roman" w:eastAsia="Times New Roman" w:hAnsi="Times New Roman" w:cs="Times New Roman"/>
        </w:rPr>
        <w:t>”), entre otros documentos relativos a su emisión</w:t>
      </w:r>
      <w:r>
        <w:rPr>
          <w:rFonts w:ascii="Times New Roman" w:eastAsia="Times New Roman" w:hAnsi="Times New Roman" w:cs="Times New Roman"/>
          <w:lang w:bidi="es-ES"/>
        </w:rPr>
        <w:t xml:space="preserve">, del supuesto de </w:t>
      </w:r>
      <w:r w:rsidRPr="00D50D01">
        <w:rPr>
          <w:rFonts w:ascii="Times New Roman" w:eastAsia="Times New Roman" w:hAnsi="Times New Roman" w:cs="Times New Roman"/>
          <w:lang w:val="es-AR" w:bidi="es-ES"/>
        </w:rPr>
        <w:t xml:space="preserve">incumplimiento previsto en el inciso (i) de la sección </w:t>
      </w:r>
      <w:r w:rsidRPr="00D50D01">
        <w:rPr>
          <w:rFonts w:ascii="Times New Roman" w:eastAsia="Times New Roman" w:hAnsi="Times New Roman" w:cs="Times New Roman"/>
          <w:i/>
          <w:lang w:val="es-AR" w:bidi="es-ES"/>
        </w:rPr>
        <w:t>“(V) Términos y Condiciones Adicionales de las Obligaciones Negociables – Supuestos de Incumplimiento</w:t>
      </w:r>
      <w:r w:rsidRPr="00D50D01">
        <w:rPr>
          <w:rFonts w:ascii="Times New Roman" w:eastAsia="Times New Roman" w:hAnsi="Times New Roman" w:cs="Times New Roman"/>
          <w:lang w:val="es-AR" w:bidi="es-ES"/>
        </w:rPr>
        <w:t>”</w:t>
      </w:r>
      <w:r>
        <w:rPr>
          <w:rFonts w:ascii="Times New Roman" w:eastAsia="Times New Roman" w:hAnsi="Times New Roman" w:cs="Times New Roman"/>
          <w:lang w:val="es-AR" w:bidi="es-ES"/>
        </w:rPr>
        <w:t xml:space="preserve"> establecido por</w:t>
      </w:r>
      <w:r w:rsidRPr="001150E0">
        <w:rPr>
          <w:rFonts w:ascii="Times New Roman" w:eastAsia="Times New Roman" w:hAnsi="Times New Roman" w:cs="Times New Roman"/>
          <w:lang w:val="es-AR" w:bidi="es-ES"/>
        </w:rPr>
        <w:t xml:space="preserve"> la </w:t>
      </w:r>
      <w:r>
        <w:rPr>
          <w:rFonts w:ascii="Times New Roman" w:eastAsia="Times New Roman" w:hAnsi="Times New Roman" w:cs="Times New Roman"/>
          <w:lang w:val="es-AR" w:bidi="es-ES"/>
        </w:rPr>
        <w:t>tercer a</w:t>
      </w:r>
      <w:r w:rsidRPr="001150E0">
        <w:rPr>
          <w:rFonts w:ascii="Times New Roman" w:eastAsia="Times New Roman" w:hAnsi="Times New Roman" w:cs="Times New Roman"/>
          <w:lang w:val="es-AR" w:bidi="es-ES"/>
        </w:rPr>
        <w:t>denda al Suplemento de Prospecto de fecha 5 de octubre de 2021</w:t>
      </w:r>
      <w:r>
        <w:rPr>
          <w:rFonts w:ascii="Times New Roman" w:eastAsia="Times New Roman" w:hAnsi="Times New Roman" w:cs="Times New Roman"/>
          <w:lang w:val="es-AR" w:bidi="es-ES"/>
        </w:rPr>
        <w:t xml:space="preserve"> (la “</w:t>
      </w:r>
      <w:r w:rsidRPr="001150E0">
        <w:rPr>
          <w:rFonts w:ascii="Times New Roman" w:eastAsia="Times New Roman" w:hAnsi="Times New Roman" w:cs="Times New Roman"/>
          <w:u w:val="single"/>
          <w:lang w:val="es-AR" w:bidi="es-ES"/>
        </w:rPr>
        <w:t>Tercer Adenda</w:t>
      </w:r>
      <w:r>
        <w:rPr>
          <w:rFonts w:ascii="Times New Roman" w:eastAsia="Times New Roman" w:hAnsi="Times New Roman" w:cs="Times New Roman"/>
          <w:lang w:val="es-AR" w:bidi="es-ES"/>
        </w:rPr>
        <w:t>”), ocurrido el 1° de enero de 2022 en virtud de que la Sociedad no pudo</w:t>
      </w:r>
      <w:r w:rsidRPr="00287AE5">
        <w:rPr>
          <w:rFonts w:ascii="Times New Roman" w:eastAsia="Times New Roman" w:hAnsi="Times New Roman" w:cs="Times New Roman"/>
          <w:lang w:val="es-AR" w:bidi="es-ES"/>
        </w:rPr>
        <w:t xml:space="preserve"> obtener el consentimiento de BA </w:t>
      </w:r>
      <w:proofErr w:type="spellStart"/>
      <w:r w:rsidRPr="00287AE5">
        <w:rPr>
          <w:rFonts w:ascii="Times New Roman" w:eastAsia="Times New Roman" w:hAnsi="Times New Roman" w:cs="Times New Roman"/>
          <w:lang w:val="es-AR" w:bidi="es-ES"/>
        </w:rPr>
        <w:t>Development</w:t>
      </w:r>
      <w:proofErr w:type="spellEnd"/>
      <w:r w:rsidRPr="00287AE5">
        <w:rPr>
          <w:rFonts w:ascii="Times New Roman" w:eastAsia="Times New Roman" w:hAnsi="Times New Roman" w:cs="Times New Roman"/>
          <w:lang w:val="es-AR" w:bidi="es-ES"/>
        </w:rPr>
        <w:t xml:space="preserve"> II </w:t>
      </w:r>
      <w:proofErr w:type="spellStart"/>
      <w:r w:rsidRPr="00287AE5">
        <w:rPr>
          <w:rFonts w:ascii="Times New Roman" w:eastAsia="Times New Roman" w:hAnsi="Times New Roman" w:cs="Times New Roman"/>
          <w:lang w:val="es-AR" w:bidi="es-ES"/>
        </w:rPr>
        <w:t>GmbH</w:t>
      </w:r>
      <w:proofErr w:type="spellEnd"/>
      <w:r w:rsidRPr="00287AE5">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para</w:t>
      </w:r>
      <w:r w:rsidRPr="00287AE5">
        <w:rPr>
          <w:rFonts w:ascii="Times New Roman" w:eastAsia="Times New Roman" w:hAnsi="Times New Roman" w:cs="Times New Roman"/>
          <w:lang w:val="es-AR" w:bidi="es-ES"/>
        </w:rPr>
        <w:t xml:space="preserve"> constituir la </w:t>
      </w:r>
      <w:r w:rsidRPr="00287AE5">
        <w:rPr>
          <w:rFonts w:ascii="Times New Roman" w:eastAsia="Times New Roman" w:hAnsi="Times New Roman" w:cs="Times New Roman"/>
          <w:lang w:val="es-MX" w:bidi="es-ES"/>
        </w:rPr>
        <w:t>prenda en primer grado de p</w:t>
      </w:r>
      <w:r>
        <w:rPr>
          <w:rFonts w:ascii="Times New Roman" w:eastAsia="Times New Roman" w:hAnsi="Times New Roman" w:cs="Times New Roman"/>
          <w:lang w:val="es-MX" w:bidi="es-ES"/>
        </w:rPr>
        <w:t>rivilegio, en beneficio de los T</w:t>
      </w:r>
      <w:r w:rsidRPr="00287AE5">
        <w:rPr>
          <w:rFonts w:ascii="Times New Roman" w:eastAsia="Times New Roman" w:hAnsi="Times New Roman" w:cs="Times New Roman"/>
          <w:lang w:val="es-MX" w:bidi="es-ES"/>
        </w:rPr>
        <w:t xml:space="preserve">enedores y en garantía de las Obligaciones Negociables Clase XVI, sobre el certificado de participación </w:t>
      </w:r>
      <w:r w:rsidRPr="00287AE5">
        <w:rPr>
          <w:rFonts w:ascii="Times New Roman" w:eastAsia="Times New Roman" w:hAnsi="Times New Roman" w:cs="Times New Roman"/>
          <w:lang w:val="es-AR" w:bidi="es-ES"/>
        </w:rPr>
        <w:t>de titularidad de la Sociedad emitido bajo el “</w:t>
      </w:r>
      <w:r w:rsidRPr="00287AE5">
        <w:rPr>
          <w:rFonts w:ascii="Times New Roman" w:eastAsia="Times New Roman" w:hAnsi="Times New Roman" w:cs="Times New Roman"/>
          <w:i/>
          <w:lang w:val="es-AR" w:bidi="es-ES"/>
        </w:rPr>
        <w:t>Contrato de Fideicomiso Financiero Privado Inmobiliario de Administración Catalinas I</w:t>
      </w:r>
      <w:r w:rsidRPr="00287AE5">
        <w:rPr>
          <w:rFonts w:ascii="Times New Roman" w:eastAsia="Times New Roman" w:hAnsi="Times New Roman" w:cs="Times New Roman"/>
          <w:lang w:val="es-AR" w:bidi="es-ES"/>
        </w:rPr>
        <w:t>” (la “</w:t>
      </w:r>
      <w:r w:rsidRPr="00287AE5">
        <w:rPr>
          <w:rFonts w:ascii="Times New Roman" w:eastAsia="Times New Roman" w:hAnsi="Times New Roman" w:cs="Times New Roman"/>
          <w:u w:val="single"/>
          <w:lang w:val="es-AR" w:bidi="es-ES"/>
        </w:rPr>
        <w:t>Prenda</w:t>
      </w:r>
      <w:r w:rsidRPr="00287AE5">
        <w:rPr>
          <w:rFonts w:ascii="Times New Roman" w:eastAsia="Times New Roman" w:hAnsi="Times New Roman" w:cs="Times New Roman"/>
          <w:lang w:val="es-AR" w:bidi="es-ES"/>
        </w:rPr>
        <w:t>”) tal como estaba previsto en</w:t>
      </w:r>
      <w:r>
        <w:rPr>
          <w:rFonts w:ascii="Times New Roman" w:eastAsia="Times New Roman" w:hAnsi="Times New Roman" w:cs="Times New Roman"/>
          <w:lang w:val="es-AR" w:bidi="es-ES"/>
        </w:rPr>
        <w:t xml:space="preserve"> el punto (i) de</w:t>
      </w:r>
      <w:r w:rsidRPr="00287AE5">
        <w:rPr>
          <w:rFonts w:ascii="Times New Roman" w:eastAsia="Times New Roman" w:hAnsi="Times New Roman" w:cs="Times New Roman"/>
          <w:lang w:val="es-AR" w:bidi="es-ES"/>
        </w:rPr>
        <w:t xml:space="preserve"> la sección </w:t>
      </w:r>
      <w:r w:rsidRPr="0092391A">
        <w:rPr>
          <w:rFonts w:ascii="Times New Roman" w:eastAsia="Times New Roman" w:hAnsi="Times New Roman" w:cs="Times New Roman"/>
          <w:i/>
          <w:lang w:val="es-AR" w:bidi="es-ES"/>
        </w:rPr>
        <w:t>“Descripción de la Garantía relativa a las Obligaciones Negociables Clase XVI -- Garantía de las Obligaciones Negociables Clase XVI”</w:t>
      </w:r>
      <w:r w:rsidRPr="00287AE5">
        <w:rPr>
          <w:rFonts w:ascii="Times New Roman" w:eastAsia="Times New Roman" w:hAnsi="Times New Roman" w:cs="Times New Roman"/>
          <w:lang w:val="es-AR" w:bidi="es-ES"/>
        </w:rPr>
        <w:t xml:space="preserve"> de</w:t>
      </w:r>
      <w:r>
        <w:rPr>
          <w:rFonts w:ascii="Times New Roman" w:eastAsia="Times New Roman" w:hAnsi="Times New Roman" w:cs="Times New Roman"/>
          <w:lang w:val="es-AR" w:bidi="es-ES"/>
        </w:rPr>
        <w:t xml:space="preserve"> la Tercer Adenda, tal como fuera oportunamente informado por la Sociedad a los Tenedores a través del hecho relevante </w:t>
      </w:r>
      <w:r w:rsidRPr="007E13D5">
        <w:rPr>
          <w:rFonts w:ascii="Times New Roman" w:eastAsia="Times New Roman" w:hAnsi="Times New Roman" w:cs="Times New Roman"/>
          <w:lang w:val="es-AR" w:bidi="es-ES"/>
        </w:rPr>
        <w:t>#</w:t>
      </w:r>
      <w:r w:rsidRPr="007E13D5">
        <w:rPr>
          <w:rFonts w:ascii="Times New Roman" w:eastAsia="Times New Roman" w:hAnsi="Times New Roman" w:cs="Times New Roman"/>
          <w:lang w:bidi="es-ES"/>
        </w:rPr>
        <w:t>2840083</w:t>
      </w:r>
      <w:r w:rsidRPr="007E13D5">
        <w:rPr>
          <w:rFonts w:ascii="Times New Roman" w:eastAsia="Times New Roman" w:hAnsi="Times New Roman" w:cs="Times New Roman"/>
          <w:lang w:val="es-AR" w:bidi="es-ES"/>
        </w:rPr>
        <w:t xml:space="preserve"> publicado </w:t>
      </w:r>
      <w:r>
        <w:rPr>
          <w:rFonts w:ascii="Times New Roman" w:eastAsia="Times New Roman" w:hAnsi="Times New Roman" w:cs="Times New Roman"/>
          <w:lang w:val="es-AR" w:bidi="es-ES"/>
        </w:rPr>
        <w:t xml:space="preserve">el 31 de diciembre de 2021 </w:t>
      </w:r>
      <w:r w:rsidRPr="007E13D5">
        <w:rPr>
          <w:rFonts w:ascii="Times New Roman" w:eastAsia="Times New Roman" w:hAnsi="Times New Roman" w:cs="Times New Roman"/>
          <w:lang w:val="es-AR" w:bidi="es-ES"/>
        </w:rPr>
        <w:t>en la Autopista de la Información Financiera de la Comisión Nacional de Valores (la “</w:t>
      </w:r>
      <w:r w:rsidRPr="007E13D5">
        <w:rPr>
          <w:rFonts w:ascii="Times New Roman" w:eastAsia="Times New Roman" w:hAnsi="Times New Roman" w:cs="Times New Roman"/>
          <w:u w:val="single"/>
          <w:lang w:val="es-AR" w:bidi="es-ES"/>
        </w:rPr>
        <w:t>AIF</w:t>
      </w:r>
      <w:r w:rsidRPr="007E13D5">
        <w:rPr>
          <w:rFonts w:ascii="Times New Roman" w:eastAsia="Times New Roman" w:hAnsi="Times New Roman" w:cs="Times New Roman"/>
          <w:lang w:val="es-AR" w:bidi="es-ES"/>
        </w:rPr>
        <w:t>”)</w:t>
      </w:r>
      <w:r>
        <w:rPr>
          <w:rFonts w:ascii="Times New Roman" w:eastAsia="Times New Roman" w:hAnsi="Times New Roman" w:cs="Times New Roman"/>
          <w:lang w:val="es-AR" w:bidi="es-ES"/>
        </w:rPr>
        <w:t>,</w:t>
      </w:r>
      <w:r w:rsidRPr="007E13D5">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a fin de dispensar, remediar y curar dicho supuesto de incumplimiento como si nunca hubiera tenido lugar y con efecto retroactivo a la fecha de su acaecimiento (la “</w:t>
      </w:r>
      <w:r w:rsidRPr="00D50D01">
        <w:rPr>
          <w:rFonts w:ascii="Times New Roman" w:eastAsia="Times New Roman" w:hAnsi="Times New Roman" w:cs="Times New Roman"/>
          <w:u w:val="single"/>
          <w:lang w:val="es-AR" w:bidi="es-ES"/>
        </w:rPr>
        <w:t>Dispensa del Incumplimiento</w:t>
      </w:r>
      <w:r>
        <w:rPr>
          <w:rFonts w:ascii="Times New Roman" w:eastAsia="Times New Roman" w:hAnsi="Times New Roman" w:cs="Times New Roman"/>
          <w:lang w:val="es-AR" w:bidi="es-ES"/>
        </w:rPr>
        <w:t xml:space="preserve">”); </w:t>
      </w:r>
    </w:p>
    <w:p w14:paraId="395236BD" w14:textId="77777777" w:rsidR="005E0114" w:rsidRDefault="005E0114" w:rsidP="005E0114">
      <w:pPr>
        <w:spacing w:after="0" w:line="240" w:lineRule="auto"/>
        <w:ind w:left="-2" w:firstLineChars="0" w:firstLine="0"/>
        <w:jc w:val="both"/>
        <w:rPr>
          <w:rFonts w:ascii="Times New Roman" w:eastAsia="Times New Roman" w:hAnsi="Times New Roman" w:cs="Times New Roman"/>
          <w:b/>
          <w:lang w:val="es-AR" w:bidi="es-ES"/>
        </w:rPr>
      </w:pPr>
    </w:p>
    <w:p w14:paraId="220ACED9" w14:textId="77777777" w:rsidR="005E0114" w:rsidRDefault="005E0114" w:rsidP="005E0114">
      <w:pPr>
        <w:spacing w:after="0" w:line="240" w:lineRule="auto"/>
        <w:ind w:left="-2" w:firstLineChars="0" w:firstLine="0"/>
        <w:jc w:val="both"/>
        <w:rPr>
          <w:rFonts w:ascii="Times New Roman" w:eastAsia="Times New Roman" w:hAnsi="Times New Roman" w:cs="Times New Roman"/>
        </w:rPr>
      </w:pPr>
      <w:r w:rsidRPr="0004747B">
        <w:rPr>
          <w:rFonts w:ascii="Times New Roman" w:eastAsia="Times New Roman" w:hAnsi="Times New Roman" w:cs="Times New Roman"/>
          <w:b/>
          <w:lang w:val="es-AR" w:bidi="es-ES"/>
        </w:rPr>
        <w:t>(2)</w:t>
      </w:r>
      <w:r>
        <w:rPr>
          <w:rFonts w:ascii="Times New Roman" w:eastAsia="Times New Roman" w:hAnsi="Times New Roman" w:cs="Times New Roman"/>
          <w:lang w:val="es-AR" w:bidi="es-ES"/>
        </w:rPr>
        <w:t xml:space="preserve"> </w:t>
      </w:r>
      <w:r>
        <w:rPr>
          <w:rFonts w:ascii="Times New Roman" w:eastAsia="Times New Roman" w:hAnsi="Times New Roman" w:cs="Times New Roman"/>
          <w:lang w:bidi="es-ES"/>
        </w:rPr>
        <w:t>en c</w:t>
      </w:r>
      <w:r w:rsidRPr="009501D3">
        <w:rPr>
          <w:rFonts w:ascii="Times New Roman" w:eastAsia="Times New Roman" w:hAnsi="Times New Roman" w:cs="Times New Roman"/>
          <w:lang w:bidi="es-ES"/>
        </w:rPr>
        <w:t>aso de</w:t>
      </w:r>
      <w:r>
        <w:rPr>
          <w:rFonts w:ascii="Times New Roman" w:eastAsia="Times New Roman" w:hAnsi="Times New Roman" w:cs="Times New Roman"/>
          <w:lang w:bidi="es-ES"/>
        </w:rPr>
        <w:t xml:space="preserve"> que se celebre el</w:t>
      </w:r>
      <w:r w:rsidRPr="009501D3">
        <w:rPr>
          <w:rFonts w:ascii="Times New Roman" w:eastAsia="Times New Roman" w:hAnsi="Times New Roman" w:cs="Times New Roman"/>
          <w:lang w:bidi="es-ES"/>
        </w:rPr>
        <w:t xml:space="preserve"> Acuerdo con </w:t>
      </w:r>
      <w:proofErr w:type="spellStart"/>
      <w:r w:rsidRPr="009501D3">
        <w:rPr>
          <w:rFonts w:ascii="Times New Roman" w:eastAsia="Times New Roman" w:hAnsi="Times New Roman" w:cs="Times New Roman"/>
          <w:lang w:bidi="es-ES"/>
        </w:rPr>
        <w:t>Itaú</w:t>
      </w:r>
      <w:proofErr w:type="spellEnd"/>
      <w:r w:rsidRPr="009501D3">
        <w:rPr>
          <w:rFonts w:ascii="Times New Roman" w:eastAsia="Times New Roman" w:hAnsi="Times New Roman" w:cs="Times New Roman"/>
          <w:lang w:bidi="es-ES"/>
        </w:rPr>
        <w:t xml:space="preserve"> sobre la Participación en Catalinas</w:t>
      </w:r>
      <w:r>
        <w:rPr>
          <w:rFonts w:ascii="Times New Roman" w:eastAsia="Times New Roman" w:hAnsi="Times New Roman" w:cs="Times New Roman"/>
          <w:lang w:bidi="es-ES"/>
        </w:rPr>
        <w:t xml:space="preserve"> (conforme dicho término se encuentra definido más adelante)</w:t>
      </w:r>
      <w:r w:rsidRPr="0032028C">
        <w:rPr>
          <w:rFonts w:ascii="Times New Roman" w:eastAsia="Times New Roman" w:hAnsi="Times New Roman" w:cs="Times New Roman"/>
        </w:rPr>
        <w:t xml:space="preserve"> </w:t>
      </w:r>
      <w:r>
        <w:rPr>
          <w:rFonts w:ascii="Times New Roman" w:eastAsia="Times New Roman" w:hAnsi="Times New Roman" w:cs="Times New Roman"/>
        </w:rPr>
        <w:t xml:space="preserve">en o antes del 25 de febrero de 2022, </w:t>
      </w:r>
      <w:r w:rsidRPr="0032028C">
        <w:rPr>
          <w:rFonts w:ascii="Times New Roman" w:eastAsia="Times New Roman" w:hAnsi="Times New Roman" w:cs="Times New Roman"/>
        </w:rPr>
        <w:t>la conformidad</w:t>
      </w:r>
      <w:r>
        <w:rPr>
          <w:rFonts w:ascii="Times New Roman" w:eastAsia="Times New Roman" w:hAnsi="Times New Roman" w:cs="Times New Roman"/>
        </w:rPr>
        <w:t xml:space="preserve">, de acuerdo a lo establecido en la cláusula 18 de la </w:t>
      </w:r>
      <w:r w:rsidRPr="00C5066F">
        <w:rPr>
          <w:rFonts w:ascii="Times New Roman" w:eastAsia="Times New Roman" w:hAnsi="Times New Roman" w:cs="Times New Roman"/>
          <w:lang w:val="es-MX"/>
        </w:rPr>
        <w:t>“Oferta de contrato de fideicomiso y cesión fiduciaria en garantía de las Obligaciones Negociables Clase XVI</w:t>
      </w:r>
      <w:r w:rsidRPr="00C5066F">
        <w:rPr>
          <w:rFonts w:ascii="Times New Roman" w:eastAsia="Times New Roman" w:hAnsi="Times New Roman" w:cs="Times New Roman"/>
          <w:lang w:val="es-AR"/>
        </w:rPr>
        <w:t>”</w:t>
      </w:r>
      <w:r>
        <w:rPr>
          <w:rFonts w:ascii="Times New Roman" w:eastAsia="Times New Roman" w:hAnsi="Times New Roman" w:cs="Times New Roman"/>
          <w:lang w:val="es-AR"/>
        </w:rPr>
        <w:t xml:space="preserve"> </w:t>
      </w:r>
      <w:r w:rsidRPr="00C5066F">
        <w:rPr>
          <w:rFonts w:ascii="Times New Roman" w:eastAsia="Times New Roman" w:hAnsi="Times New Roman" w:cs="Times New Roman"/>
          <w:lang w:val="es-AR"/>
        </w:rPr>
        <w:t xml:space="preserve">de fecha 23 de diciembre de 2021, enviada por la Sociedad a Banco de Servicios y Transacciones S.A. </w:t>
      </w:r>
      <w:r>
        <w:rPr>
          <w:rFonts w:ascii="Times New Roman" w:eastAsia="Times New Roman" w:hAnsi="Times New Roman" w:cs="Times New Roman"/>
          <w:lang w:val="es-AR"/>
        </w:rPr>
        <w:t>(el “</w:t>
      </w:r>
      <w:r w:rsidRPr="0004747B">
        <w:rPr>
          <w:rFonts w:ascii="Times New Roman" w:eastAsia="Times New Roman" w:hAnsi="Times New Roman" w:cs="Times New Roman"/>
          <w:u w:val="single"/>
          <w:lang w:val="es-AR"/>
        </w:rPr>
        <w:t>Fiduciario MPN</w:t>
      </w:r>
      <w:r>
        <w:rPr>
          <w:rFonts w:ascii="Times New Roman" w:eastAsia="Times New Roman" w:hAnsi="Times New Roman" w:cs="Times New Roman"/>
          <w:lang w:val="es-AR"/>
        </w:rPr>
        <w:t xml:space="preserve">”) </w:t>
      </w:r>
      <w:r w:rsidRPr="00C5066F">
        <w:rPr>
          <w:rFonts w:ascii="Times New Roman" w:eastAsia="Times New Roman" w:hAnsi="Times New Roman" w:cs="Times New Roman"/>
          <w:lang w:val="es-AR"/>
        </w:rPr>
        <w:t>y aceptada por éste en la misma fecha (el “</w:t>
      </w:r>
      <w:r w:rsidRPr="0004747B">
        <w:rPr>
          <w:rFonts w:ascii="Times New Roman" w:eastAsia="Times New Roman" w:hAnsi="Times New Roman" w:cs="Times New Roman"/>
          <w:u w:val="single"/>
          <w:lang w:val="es-AR"/>
        </w:rPr>
        <w:t>Fideicomiso MPN</w:t>
      </w:r>
      <w:r w:rsidRPr="00C5066F">
        <w:rPr>
          <w:rFonts w:ascii="Times New Roman" w:eastAsia="Times New Roman" w:hAnsi="Times New Roman" w:cs="Times New Roman"/>
          <w:lang w:val="es-AR"/>
        </w:rPr>
        <w:t>”)</w:t>
      </w:r>
      <w:r>
        <w:rPr>
          <w:rFonts w:ascii="Times New Roman" w:eastAsia="Times New Roman" w:hAnsi="Times New Roman" w:cs="Times New Roman"/>
          <w:lang w:val="es-AR"/>
        </w:rPr>
        <w:t>,</w:t>
      </w:r>
      <w:r w:rsidRPr="0032028C">
        <w:rPr>
          <w:rFonts w:ascii="Times New Roman" w:eastAsia="Times New Roman" w:hAnsi="Times New Roman" w:cs="Times New Roman"/>
        </w:rPr>
        <w:t xml:space="preserve"> de los </w:t>
      </w:r>
      <w:r>
        <w:rPr>
          <w:rFonts w:ascii="Times New Roman" w:eastAsia="Times New Roman" w:hAnsi="Times New Roman" w:cs="Times New Roman"/>
        </w:rPr>
        <w:t>T</w:t>
      </w:r>
      <w:r w:rsidRPr="0032028C">
        <w:rPr>
          <w:rFonts w:ascii="Times New Roman" w:eastAsia="Times New Roman" w:hAnsi="Times New Roman" w:cs="Times New Roman"/>
        </w:rPr>
        <w:t>enedores</w:t>
      </w:r>
      <w:r>
        <w:rPr>
          <w:rFonts w:ascii="Times New Roman" w:eastAsia="Times New Roman" w:hAnsi="Times New Roman" w:cs="Times New Roman"/>
        </w:rPr>
        <w:t xml:space="preserve"> y la autorización e instrucción al Fiduciario MPN a prestar conformidad, </w:t>
      </w:r>
      <w:r>
        <w:rPr>
          <w:rFonts w:ascii="Times New Roman" w:eastAsia="Times New Roman" w:hAnsi="Times New Roman" w:cs="Times New Roman"/>
          <w:lang w:bidi="es-ES"/>
        </w:rPr>
        <w:t xml:space="preserve">para que Banco </w:t>
      </w:r>
      <w:proofErr w:type="spellStart"/>
      <w:r>
        <w:rPr>
          <w:rFonts w:ascii="Times New Roman" w:eastAsia="Times New Roman" w:hAnsi="Times New Roman" w:cs="Times New Roman"/>
          <w:lang w:bidi="es-ES"/>
        </w:rPr>
        <w:t>Itaú</w:t>
      </w:r>
      <w:proofErr w:type="spellEnd"/>
      <w:r>
        <w:rPr>
          <w:rFonts w:ascii="Times New Roman" w:eastAsia="Times New Roman" w:hAnsi="Times New Roman" w:cs="Times New Roman"/>
          <w:lang w:bidi="es-ES"/>
        </w:rPr>
        <w:t xml:space="preserve"> Argentina S.A. (“</w:t>
      </w:r>
      <w:r w:rsidRPr="0004747B">
        <w:rPr>
          <w:rFonts w:ascii="Times New Roman" w:eastAsia="Times New Roman" w:hAnsi="Times New Roman" w:cs="Times New Roman"/>
          <w:u w:val="single"/>
          <w:lang w:bidi="es-ES"/>
        </w:rPr>
        <w:t xml:space="preserve">Banco </w:t>
      </w:r>
      <w:proofErr w:type="spellStart"/>
      <w:r w:rsidRPr="0004747B">
        <w:rPr>
          <w:rFonts w:ascii="Times New Roman" w:eastAsia="Times New Roman" w:hAnsi="Times New Roman" w:cs="Times New Roman"/>
          <w:u w:val="single"/>
          <w:lang w:bidi="es-ES"/>
        </w:rPr>
        <w:t>Itaú</w:t>
      </w:r>
      <w:proofErr w:type="spellEnd"/>
      <w:r>
        <w:rPr>
          <w:rFonts w:ascii="Times New Roman" w:eastAsia="Times New Roman" w:hAnsi="Times New Roman" w:cs="Times New Roman"/>
          <w:lang w:bidi="es-ES"/>
        </w:rPr>
        <w:t xml:space="preserve">”) reciba el 100% del </w:t>
      </w:r>
      <w:r>
        <w:rPr>
          <w:rFonts w:ascii="Times New Roman" w:eastAsia="Times New Roman" w:hAnsi="Times New Roman" w:cs="Times New Roman"/>
          <w:bCs/>
          <w:iCs/>
          <w:lang w:val="es-AR" w:bidi="es-ES"/>
        </w:rPr>
        <w:t>pago</w:t>
      </w:r>
      <w:r w:rsidRPr="00C724F7">
        <w:rPr>
          <w:rFonts w:ascii="Times New Roman" w:eastAsia="Times New Roman" w:hAnsi="Times New Roman" w:cs="Times New Roman"/>
          <w:bCs/>
          <w:iCs/>
          <w:lang w:val="es-AR" w:bidi="es-ES"/>
        </w:rPr>
        <w:t xml:space="preserve"> del precio </w:t>
      </w:r>
      <w:r w:rsidRPr="00C724F7">
        <w:rPr>
          <w:rFonts w:ascii="Times New Roman" w:eastAsia="Times New Roman" w:hAnsi="Times New Roman" w:cs="Times New Roman"/>
          <w:lang w:val="es-AR" w:bidi="es-ES"/>
        </w:rPr>
        <w:t xml:space="preserve">del Contrato de Compraventa de Acciones </w:t>
      </w:r>
      <w:r>
        <w:rPr>
          <w:rFonts w:ascii="Times New Roman" w:eastAsia="Times New Roman" w:hAnsi="Times New Roman" w:cs="Times New Roman"/>
          <w:lang w:val="es-AR" w:bidi="es-ES"/>
        </w:rPr>
        <w:t xml:space="preserve">(conforme dicho término se encuentra definido en la Tercer Adenda) </w:t>
      </w:r>
      <w:r w:rsidRPr="00C724F7">
        <w:rPr>
          <w:rFonts w:ascii="Times New Roman" w:eastAsia="Times New Roman" w:hAnsi="Times New Roman" w:cs="Times New Roman"/>
          <w:bCs/>
          <w:iCs/>
          <w:lang w:val="es-AR" w:bidi="es-ES"/>
        </w:rPr>
        <w:t>a ser abonado por los Compradores SES</w:t>
      </w:r>
      <w:r>
        <w:rPr>
          <w:rFonts w:ascii="Times New Roman" w:eastAsia="Times New Roman" w:hAnsi="Times New Roman" w:cs="Times New Roman"/>
          <w:bCs/>
          <w:iCs/>
          <w:lang w:val="es-AR" w:bidi="es-ES"/>
        </w:rPr>
        <w:t xml:space="preserve"> </w:t>
      </w:r>
      <w:r>
        <w:rPr>
          <w:rFonts w:ascii="Times New Roman" w:eastAsia="Times New Roman" w:hAnsi="Times New Roman" w:cs="Times New Roman"/>
          <w:lang w:val="es-AR" w:bidi="es-ES"/>
        </w:rPr>
        <w:t>(conforme dicho término se encuentra definido en la Tercer Adenda)</w:t>
      </w:r>
      <w:r>
        <w:rPr>
          <w:rFonts w:ascii="Times New Roman" w:eastAsia="Times New Roman" w:hAnsi="Times New Roman" w:cs="Times New Roman"/>
          <w:bCs/>
          <w:iCs/>
          <w:lang w:val="es-AR" w:bidi="es-ES"/>
        </w:rPr>
        <w:t xml:space="preserve"> el 28 de febrero de 2022, quedando expresamente establecido que el Fideicomiso MPN recibirá el </w:t>
      </w:r>
      <w:r>
        <w:rPr>
          <w:rFonts w:ascii="Times New Roman" w:eastAsia="Times New Roman" w:hAnsi="Times New Roman" w:cs="Times New Roman"/>
          <w:lang w:bidi="es-ES"/>
        </w:rPr>
        <w:t xml:space="preserve">100% del </w:t>
      </w:r>
      <w:r>
        <w:rPr>
          <w:rFonts w:ascii="Times New Roman" w:eastAsia="Times New Roman" w:hAnsi="Times New Roman" w:cs="Times New Roman"/>
          <w:bCs/>
          <w:iCs/>
          <w:lang w:val="es-AR" w:bidi="es-ES"/>
        </w:rPr>
        <w:t xml:space="preserve">pago </w:t>
      </w:r>
      <w:r w:rsidRPr="00C724F7">
        <w:rPr>
          <w:rFonts w:ascii="Times New Roman" w:eastAsia="Times New Roman" w:hAnsi="Times New Roman" w:cs="Times New Roman"/>
          <w:bCs/>
          <w:iCs/>
          <w:lang w:val="es-AR" w:bidi="es-ES"/>
        </w:rPr>
        <w:t xml:space="preserve">del precio </w:t>
      </w:r>
      <w:r w:rsidRPr="00C724F7">
        <w:rPr>
          <w:rFonts w:ascii="Times New Roman" w:eastAsia="Times New Roman" w:hAnsi="Times New Roman" w:cs="Times New Roman"/>
          <w:lang w:val="es-AR" w:bidi="es-ES"/>
        </w:rPr>
        <w:t xml:space="preserve">del Contrato de Compraventa de Acciones </w:t>
      </w:r>
      <w:r w:rsidRPr="00C724F7">
        <w:rPr>
          <w:rFonts w:ascii="Times New Roman" w:eastAsia="Times New Roman" w:hAnsi="Times New Roman" w:cs="Times New Roman"/>
          <w:bCs/>
          <w:iCs/>
          <w:lang w:val="es-AR" w:bidi="es-ES"/>
        </w:rPr>
        <w:t>a ser abonado por los Compradores SES</w:t>
      </w:r>
      <w:r>
        <w:rPr>
          <w:rFonts w:ascii="Times New Roman" w:eastAsia="Times New Roman" w:hAnsi="Times New Roman" w:cs="Times New Roman"/>
          <w:bCs/>
          <w:iCs/>
          <w:lang w:val="es-AR" w:bidi="es-ES"/>
        </w:rPr>
        <w:t xml:space="preserve"> el 31 de mayo de 2022 (la “</w:t>
      </w:r>
      <w:r w:rsidRPr="0004747B">
        <w:rPr>
          <w:rFonts w:ascii="Times New Roman" w:eastAsia="Times New Roman" w:hAnsi="Times New Roman" w:cs="Times New Roman"/>
          <w:bCs/>
          <w:iCs/>
          <w:u w:val="single"/>
          <w:lang w:val="es-AR" w:bidi="es-ES"/>
        </w:rPr>
        <w:t>Conformidad de Pago</w:t>
      </w:r>
      <w:r>
        <w:rPr>
          <w:rFonts w:ascii="Times New Roman" w:eastAsia="Times New Roman" w:hAnsi="Times New Roman" w:cs="Times New Roman"/>
          <w:bCs/>
          <w:iCs/>
          <w:lang w:val="es-AR" w:bidi="es-ES"/>
        </w:rPr>
        <w:t>”)</w:t>
      </w:r>
      <w:r>
        <w:rPr>
          <w:rFonts w:ascii="Times New Roman" w:eastAsia="Times New Roman" w:hAnsi="Times New Roman" w:cs="Times New Roman"/>
          <w:lang w:val="es-AR" w:bidi="es-ES"/>
        </w:rPr>
        <w:t>; y</w:t>
      </w:r>
      <w:r>
        <w:rPr>
          <w:rFonts w:ascii="Times New Roman" w:eastAsia="Times New Roman" w:hAnsi="Times New Roman" w:cs="Times New Roman"/>
        </w:rPr>
        <w:t xml:space="preserve"> </w:t>
      </w:r>
    </w:p>
    <w:p w14:paraId="13AE31AD" w14:textId="77777777" w:rsidR="005E0114" w:rsidRDefault="005E0114" w:rsidP="005E0114">
      <w:pPr>
        <w:spacing w:after="0" w:line="240" w:lineRule="auto"/>
        <w:ind w:left="-2" w:firstLineChars="0" w:firstLine="0"/>
        <w:jc w:val="both"/>
        <w:rPr>
          <w:rFonts w:ascii="Times New Roman" w:eastAsia="Times New Roman" w:hAnsi="Times New Roman" w:cs="Times New Roman"/>
          <w:b/>
        </w:rPr>
      </w:pPr>
    </w:p>
    <w:p w14:paraId="1CB48155" w14:textId="77777777" w:rsidR="005E0114" w:rsidRDefault="005E0114" w:rsidP="005E0114">
      <w:pPr>
        <w:spacing w:after="0" w:line="240" w:lineRule="auto"/>
        <w:ind w:left="-2" w:firstLineChars="0" w:firstLine="0"/>
        <w:jc w:val="both"/>
        <w:rPr>
          <w:rFonts w:ascii="Times New Roman" w:eastAsia="Times New Roman" w:hAnsi="Times New Roman" w:cs="Times New Roman"/>
          <w:lang w:val="es-AR" w:bidi="es-ES"/>
        </w:rPr>
      </w:pPr>
      <w:r w:rsidRPr="00A75332">
        <w:rPr>
          <w:rFonts w:ascii="Times New Roman" w:eastAsia="Times New Roman" w:hAnsi="Times New Roman" w:cs="Times New Roman"/>
          <w:b/>
        </w:rPr>
        <w:t>(</w:t>
      </w:r>
      <w:r>
        <w:rPr>
          <w:rFonts w:ascii="Times New Roman" w:eastAsia="Times New Roman" w:hAnsi="Times New Roman" w:cs="Times New Roman"/>
          <w:b/>
        </w:rPr>
        <w:t>3</w:t>
      </w:r>
      <w:r w:rsidRPr="00A75332">
        <w:rPr>
          <w:rFonts w:ascii="Times New Roman" w:eastAsia="Times New Roman" w:hAnsi="Times New Roman" w:cs="Times New Roman"/>
          <w:b/>
        </w:rPr>
        <w:t>)</w:t>
      </w:r>
      <w:r>
        <w:rPr>
          <w:rFonts w:ascii="Times New Roman" w:eastAsia="Times New Roman" w:hAnsi="Times New Roman" w:cs="Times New Roman"/>
        </w:rPr>
        <w:t xml:space="preserve"> </w:t>
      </w:r>
      <w:proofErr w:type="gramStart"/>
      <w:r w:rsidRPr="0032028C">
        <w:rPr>
          <w:rFonts w:ascii="Times New Roman" w:eastAsia="Times New Roman" w:hAnsi="Times New Roman" w:cs="Times New Roman"/>
        </w:rPr>
        <w:t>la</w:t>
      </w:r>
      <w:proofErr w:type="gramEnd"/>
      <w:r w:rsidRPr="0032028C">
        <w:rPr>
          <w:rFonts w:ascii="Times New Roman" w:eastAsia="Times New Roman" w:hAnsi="Times New Roman" w:cs="Times New Roman"/>
        </w:rPr>
        <w:t xml:space="preserve"> conformidad de los </w:t>
      </w:r>
      <w:r>
        <w:rPr>
          <w:rFonts w:ascii="Times New Roman" w:eastAsia="Times New Roman" w:hAnsi="Times New Roman" w:cs="Times New Roman"/>
        </w:rPr>
        <w:t>T</w:t>
      </w:r>
      <w:r w:rsidRPr="0032028C">
        <w:rPr>
          <w:rFonts w:ascii="Times New Roman" w:eastAsia="Times New Roman" w:hAnsi="Times New Roman" w:cs="Times New Roman"/>
        </w:rPr>
        <w:t xml:space="preserve">enedores </w:t>
      </w:r>
      <w:r w:rsidRPr="0032028C">
        <w:rPr>
          <w:rFonts w:ascii="Times New Roman" w:eastAsia="Times New Roman" w:hAnsi="Times New Roman" w:cs="Times New Roman"/>
          <w:lang w:bidi="es-ES"/>
        </w:rPr>
        <w:t xml:space="preserve">para realizar </w:t>
      </w:r>
      <w:r>
        <w:rPr>
          <w:rFonts w:ascii="Times New Roman" w:eastAsia="Times New Roman" w:hAnsi="Times New Roman" w:cs="Times New Roman"/>
          <w:lang w:bidi="es-ES"/>
        </w:rPr>
        <w:t>las</w:t>
      </w:r>
      <w:r w:rsidRPr="0032028C">
        <w:rPr>
          <w:rFonts w:ascii="Times New Roman" w:eastAsia="Times New Roman" w:hAnsi="Times New Roman" w:cs="Times New Roman"/>
          <w:lang w:bidi="es-ES"/>
        </w:rPr>
        <w:t xml:space="preserve"> modificaciones a </w:t>
      </w:r>
      <w:r w:rsidRPr="0032028C">
        <w:rPr>
          <w:rFonts w:ascii="Times New Roman" w:eastAsia="Times New Roman" w:hAnsi="Times New Roman" w:cs="Times New Roman"/>
        </w:rPr>
        <w:t>ciertos términos y condiciones esenciales y no esenciales de las Obligaciones Negociables</w:t>
      </w:r>
      <w:r>
        <w:rPr>
          <w:rFonts w:ascii="Times New Roman" w:eastAsia="Times New Roman" w:hAnsi="Times New Roman" w:cs="Times New Roman"/>
        </w:rPr>
        <w:t xml:space="preserve"> </w:t>
      </w:r>
      <w:r w:rsidRPr="0032028C">
        <w:rPr>
          <w:rFonts w:ascii="Times New Roman" w:eastAsia="Times New Roman" w:hAnsi="Times New Roman" w:cs="Times New Roman"/>
          <w:lang w:bidi="es-ES"/>
        </w:rPr>
        <w:t>que se describen a continuación</w:t>
      </w:r>
      <w:r>
        <w:rPr>
          <w:rFonts w:ascii="Times New Roman" w:eastAsia="Times New Roman" w:hAnsi="Times New Roman" w:cs="Times New Roman"/>
        </w:rPr>
        <w:t xml:space="preserve"> (de forma conjunta (1), (2) y (3) precedentes, </w:t>
      </w:r>
      <w:r w:rsidRPr="00872B24">
        <w:rPr>
          <w:rFonts w:ascii="Times New Roman" w:eastAsia="Times New Roman" w:hAnsi="Times New Roman" w:cs="Times New Roman"/>
          <w:lang w:val="es-AR" w:bidi="es-ES"/>
        </w:rPr>
        <w:t>la “</w:t>
      </w:r>
      <w:r w:rsidRPr="00872B24">
        <w:rPr>
          <w:rFonts w:ascii="Times New Roman" w:eastAsia="Times New Roman" w:hAnsi="Times New Roman" w:cs="Times New Roman"/>
          <w:u w:val="single"/>
          <w:lang w:val="es-AR" w:bidi="es-ES"/>
        </w:rPr>
        <w:t>Propuesta</w:t>
      </w:r>
      <w:r w:rsidRPr="00872B24">
        <w:rPr>
          <w:rFonts w:ascii="Times New Roman" w:eastAsia="Times New Roman" w:hAnsi="Times New Roman" w:cs="Times New Roman"/>
          <w:lang w:val="es-AR" w:bidi="es-ES"/>
        </w:rPr>
        <w:t>”)</w:t>
      </w:r>
      <w:r>
        <w:rPr>
          <w:rFonts w:ascii="Times New Roman" w:eastAsia="Times New Roman" w:hAnsi="Times New Roman" w:cs="Times New Roman"/>
          <w:lang w:val="es-AR" w:bidi="es-ES"/>
        </w:rPr>
        <w:t>:</w:t>
      </w:r>
    </w:p>
    <w:p w14:paraId="53D2584B" w14:textId="77777777" w:rsidR="005E0114" w:rsidRDefault="005E0114" w:rsidP="005E0114">
      <w:pPr>
        <w:spacing w:after="0" w:line="240" w:lineRule="auto"/>
        <w:ind w:leftChars="386" w:left="849" w:firstLineChars="0" w:firstLine="0"/>
        <w:jc w:val="both"/>
        <w:rPr>
          <w:rFonts w:ascii="Times New Roman" w:eastAsia="Times New Roman" w:hAnsi="Times New Roman" w:cs="Times New Roman"/>
          <w:lang w:val="es-AR" w:bidi="es-ES"/>
        </w:rPr>
      </w:pPr>
    </w:p>
    <w:p w14:paraId="47921AD9" w14:textId="77777777" w:rsidR="005E0114" w:rsidRPr="00434311" w:rsidRDefault="005E0114" w:rsidP="005E0114">
      <w:pPr>
        <w:pStyle w:val="Prrafodelista"/>
        <w:numPr>
          <w:ilvl w:val="0"/>
          <w:numId w:val="18"/>
        </w:numPr>
        <w:spacing w:after="0" w:line="240" w:lineRule="auto"/>
        <w:ind w:leftChars="129" w:left="708" w:firstLineChars="0" w:hanging="424"/>
        <w:jc w:val="both"/>
        <w:rPr>
          <w:rFonts w:ascii="Times New Roman" w:eastAsia="Times New Roman" w:hAnsi="Times New Roman" w:cs="Times New Roman"/>
          <w:lang w:val="es-MX" w:bidi="es-ES"/>
        </w:rPr>
      </w:pPr>
      <w:r w:rsidRPr="009E711B">
        <w:rPr>
          <w:rFonts w:ascii="Times New Roman" w:eastAsia="Times New Roman" w:hAnsi="Times New Roman" w:cs="Times New Roman"/>
          <w:lang w:bidi="es-ES"/>
        </w:rPr>
        <w:t>En caso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w:t>
      </w:r>
      <w:r>
        <w:rPr>
          <w:rFonts w:ascii="Times New Roman" w:eastAsia="Times New Roman" w:hAnsi="Times New Roman" w:cs="Times New Roman"/>
          <w:lang w:val="es-AR" w:bidi="es-ES"/>
        </w:rPr>
        <w:t xml:space="preserve">suprimir en su totalidad el punto (i) del apartado </w:t>
      </w:r>
      <w:r w:rsidRPr="00FA4E96">
        <w:rPr>
          <w:rFonts w:ascii="Times New Roman" w:eastAsia="Times New Roman" w:hAnsi="Times New Roman" w:cs="Times New Roman"/>
          <w:i/>
          <w:lang w:val="es-AR" w:bidi="es-ES"/>
        </w:rPr>
        <w:t>“Descripción de la Garantía relativa a las Obligaciones Negociables Clase XVI</w:t>
      </w:r>
      <w:r>
        <w:rPr>
          <w:rFonts w:ascii="Times New Roman" w:eastAsia="Times New Roman" w:hAnsi="Times New Roman" w:cs="Times New Roman"/>
          <w:i/>
          <w:lang w:val="es-AR" w:bidi="es-ES"/>
        </w:rPr>
        <w:t xml:space="preserve"> en los T&amp;C Básicos</w:t>
      </w:r>
      <w:r w:rsidRPr="00FA4E96">
        <w:rPr>
          <w:rFonts w:ascii="Times New Roman" w:eastAsia="Times New Roman" w:hAnsi="Times New Roman" w:cs="Times New Roman"/>
          <w:i/>
          <w:lang w:val="es-AR" w:bidi="es-ES"/>
        </w:rPr>
        <w:t xml:space="preserve"> -- Garantía de las Obligaciones Negociables Clase XVI</w:t>
      </w:r>
      <w:r w:rsidRPr="00FA4E96">
        <w:rPr>
          <w:rFonts w:ascii="Times New Roman" w:eastAsia="Times New Roman" w:hAnsi="Times New Roman" w:cs="Times New Roman"/>
          <w:lang w:val="es-AR" w:bidi="es-ES"/>
        </w:rPr>
        <w:t>”</w:t>
      </w:r>
      <w:r>
        <w:rPr>
          <w:rFonts w:ascii="Times New Roman" w:eastAsia="Times New Roman" w:hAnsi="Times New Roman" w:cs="Times New Roman"/>
          <w:lang w:val="es-AR" w:bidi="es-ES"/>
        </w:rPr>
        <w:t xml:space="preserve"> de la Tercer Adenda.</w:t>
      </w:r>
      <w:r>
        <w:rPr>
          <w:rFonts w:ascii="Times New Roman" w:eastAsia="Times New Roman" w:hAnsi="Times New Roman" w:cs="Times New Roman"/>
          <w:lang w:val="es-MX" w:bidi="es-ES"/>
        </w:rPr>
        <w:t xml:space="preserve"> </w:t>
      </w:r>
    </w:p>
    <w:p w14:paraId="4B1CDC5C" w14:textId="77777777" w:rsidR="005E0114" w:rsidRDefault="005E0114" w:rsidP="005E0114">
      <w:pPr>
        <w:spacing w:after="0" w:line="240" w:lineRule="auto"/>
        <w:ind w:leftChars="129" w:left="850" w:firstLineChars="0" w:hanging="566"/>
        <w:jc w:val="both"/>
        <w:rPr>
          <w:rFonts w:ascii="Times New Roman" w:eastAsia="Times New Roman" w:hAnsi="Times New Roman" w:cs="Times New Roman"/>
          <w:lang w:bidi="es-ES"/>
        </w:rPr>
      </w:pPr>
    </w:p>
    <w:p w14:paraId="2D3E93FC" w14:textId="77777777" w:rsidR="005E0114" w:rsidRPr="00AE76C5" w:rsidRDefault="005E0114" w:rsidP="005E0114">
      <w:pPr>
        <w:pStyle w:val="Prrafodelista"/>
        <w:numPr>
          <w:ilvl w:val="0"/>
          <w:numId w:val="18"/>
        </w:numPr>
        <w:spacing w:after="0" w:line="240" w:lineRule="auto"/>
        <w:ind w:leftChars="194" w:left="851" w:firstLineChars="0" w:hanging="424"/>
        <w:jc w:val="both"/>
        <w:rPr>
          <w:rFonts w:ascii="Times New Roman" w:eastAsia="Times New Roman" w:hAnsi="Times New Roman" w:cs="Times New Roman"/>
          <w:lang w:bidi="es-ES"/>
        </w:rPr>
      </w:pPr>
      <w:r w:rsidRPr="00AE76C5">
        <w:rPr>
          <w:rFonts w:ascii="Times New Roman" w:eastAsia="Times New Roman" w:hAnsi="Times New Roman" w:cs="Times New Roman"/>
          <w:lang w:bidi="es-ES"/>
        </w:rPr>
        <w:t>En caso que la Sociedad obtenga el consentimiento de la Mayoría Necesaria para la Propuesta y, por ende, se apruebe lo detallado en el punto (I) precedente</w:t>
      </w:r>
      <w:r w:rsidRPr="00AE76C5">
        <w:rPr>
          <w:rFonts w:ascii="Times New Roman" w:eastAsia="Times New Roman" w:hAnsi="Times New Roman" w:cs="Times New Roman"/>
          <w:lang w:val="es-MX" w:bidi="es-ES"/>
        </w:rPr>
        <w:t>,</w:t>
      </w:r>
      <w:r w:rsidRPr="00AE76C5">
        <w:rPr>
          <w:rFonts w:ascii="Times New Roman" w:eastAsia="Times New Roman" w:hAnsi="Times New Roman" w:cs="Times New Roman"/>
          <w:lang w:val="es-AR" w:bidi="es-ES"/>
        </w:rPr>
        <w:t xml:space="preserve"> incorporar las siguientes definiciones de “Fideicomiso Catalinas” y la “Participación Catalinas”:</w:t>
      </w:r>
    </w:p>
    <w:p w14:paraId="54BFE6DD" w14:textId="77777777" w:rsidR="005E0114" w:rsidRPr="00AE76C5" w:rsidRDefault="005E0114" w:rsidP="005E0114">
      <w:pPr>
        <w:pStyle w:val="Prrafodelista"/>
        <w:spacing w:after="0" w:line="240" w:lineRule="auto"/>
        <w:ind w:leftChars="129" w:left="850" w:firstLineChars="0" w:hanging="566"/>
        <w:jc w:val="both"/>
        <w:rPr>
          <w:rFonts w:ascii="Times New Roman" w:eastAsia="Times New Roman" w:hAnsi="Times New Roman" w:cs="Times New Roman"/>
          <w:lang w:bidi="es-ES"/>
        </w:rPr>
      </w:pPr>
    </w:p>
    <w:p w14:paraId="61088E97" w14:textId="77777777" w:rsidR="005E0114" w:rsidRPr="00AE76C5" w:rsidRDefault="005E0114" w:rsidP="005E0114">
      <w:pPr>
        <w:pStyle w:val="Prrafodelista"/>
        <w:spacing w:after="0" w:line="240" w:lineRule="auto"/>
        <w:ind w:leftChars="385" w:left="850" w:firstLineChars="0" w:hanging="3"/>
        <w:jc w:val="both"/>
        <w:rPr>
          <w:rFonts w:ascii="Times New Roman" w:eastAsia="Times New Roman" w:hAnsi="Times New Roman" w:cs="Times New Roman"/>
          <w:lang w:val="es-AR" w:bidi="es-ES"/>
        </w:rPr>
      </w:pPr>
      <w:r w:rsidRPr="00AE76C5">
        <w:rPr>
          <w:rFonts w:ascii="Times New Roman" w:eastAsia="Times New Roman" w:hAnsi="Times New Roman" w:cs="Times New Roman"/>
          <w:lang w:val="es-AR" w:bidi="es-ES"/>
        </w:rPr>
        <w:t>“</w:t>
      </w:r>
      <w:r w:rsidRPr="00AE76C5">
        <w:rPr>
          <w:rFonts w:ascii="Times New Roman" w:eastAsia="Times New Roman" w:hAnsi="Times New Roman" w:cs="Times New Roman"/>
          <w:u w:val="single"/>
          <w:lang w:val="es-AR" w:bidi="es-ES"/>
        </w:rPr>
        <w:t>Fideicomiso Catalinas</w:t>
      </w:r>
      <w:r w:rsidRPr="00AE76C5">
        <w:rPr>
          <w:rFonts w:ascii="Times New Roman" w:eastAsia="Times New Roman" w:hAnsi="Times New Roman" w:cs="Times New Roman"/>
          <w:lang w:val="es-AR" w:bidi="es-ES"/>
        </w:rPr>
        <w:t xml:space="preserve">” significa el Contrato de Fideicomiso Financiero Privado Inmobiliario de Administración Catalinas I de fecha 13 de marzo de 2018 (incluyendo su primer adenda de fecha 26 de marzo de 2018 y la segunda adenda de fecha 5 de agosto de 2019), celebrado entre la Sociedad, BA </w:t>
      </w:r>
      <w:proofErr w:type="spellStart"/>
      <w:r w:rsidRPr="00AE76C5">
        <w:rPr>
          <w:rFonts w:ascii="Times New Roman" w:eastAsia="Times New Roman" w:hAnsi="Times New Roman" w:cs="Times New Roman"/>
          <w:lang w:val="es-AR" w:bidi="es-ES"/>
        </w:rPr>
        <w:t>Development</w:t>
      </w:r>
      <w:proofErr w:type="spellEnd"/>
      <w:r w:rsidRPr="00AE76C5">
        <w:rPr>
          <w:rFonts w:ascii="Times New Roman" w:eastAsia="Times New Roman" w:hAnsi="Times New Roman" w:cs="Times New Roman"/>
          <w:lang w:val="es-AR" w:bidi="es-ES"/>
        </w:rPr>
        <w:t xml:space="preserve"> II </w:t>
      </w:r>
      <w:proofErr w:type="spellStart"/>
      <w:r w:rsidRPr="00AE76C5">
        <w:rPr>
          <w:rFonts w:ascii="Times New Roman" w:eastAsia="Times New Roman" w:hAnsi="Times New Roman" w:cs="Times New Roman"/>
          <w:lang w:val="es-AR" w:bidi="es-ES"/>
        </w:rPr>
        <w:t>GmbH</w:t>
      </w:r>
      <w:proofErr w:type="spellEnd"/>
      <w:r w:rsidRPr="00AE76C5">
        <w:rPr>
          <w:rFonts w:ascii="Times New Roman" w:eastAsia="Times New Roman" w:hAnsi="Times New Roman" w:cs="Times New Roman"/>
          <w:lang w:val="es-AR" w:bidi="es-ES"/>
        </w:rPr>
        <w:t xml:space="preserve"> (“</w:t>
      </w:r>
      <w:r w:rsidRPr="00AE76C5">
        <w:rPr>
          <w:rFonts w:ascii="Times New Roman" w:eastAsia="Times New Roman" w:hAnsi="Times New Roman" w:cs="Times New Roman"/>
          <w:u w:val="single"/>
          <w:lang w:val="es-AR" w:bidi="es-ES"/>
        </w:rPr>
        <w:t xml:space="preserve">BA </w:t>
      </w:r>
      <w:proofErr w:type="spellStart"/>
      <w:r w:rsidRPr="00AE76C5">
        <w:rPr>
          <w:rFonts w:ascii="Times New Roman" w:eastAsia="Times New Roman" w:hAnsi="Times New Roman" w:cs="Times New Roman"/>
          <w:u w:val="single"/>
          <w:lang w:val="es-AR" w:bidi="es-ES"/>
        </w:rPr>
        <w:t>Development</w:t>
      </w:r>
      <w:proofErr w:type="spellEnd"/>
      <w:r w:rsidRPr="00AE76C5">
        <w:rPr>
          <w:rFonts w:ascii="Times New Roman" w:eastAsia="Times New Roman" w:hAnsi="Times New Roman" w:cs="Times New Roman"/>
          <w:lang w:val="es-AR" w:bidi="es-ES"/>
        </w:rPr>
        <w:t xml:space="preserve">”) y </w:t>
      </w:r>
      <w:proofErr w:type="spellStart"/>
      <w:r w:rsidRPr="00AE76C5">
        <w:rPr>
          <w:rFonts w:ascii="Times New Roman" w:eastAsia="Times New Roman" w:hAnsi="Times New Roman" w:cs="Times New Roman"/>
          <w:lang w:val="es-AR" w:bidi="es-ES"/>
        </w:rPr>
        <w:t>Allaria</w:t>
      </w:r>
      <w:proofErr w:type="spellEnd"/>
      <w:r w:rsidRPr="00AE76C5">
        <w:rPr>
          <w:rFonts w:ascii="Times New Roman" w:eastAsia="Times New Roman" w:hAnsi="Times New Roman" w:cs="Times New Roman"/>
          <w:lang w:val="es-AR" w:bidi="es-ES"/>
        </w:rPr>
        <w:t xml:space="preserve"> Ledesma Fiduciaria S.A. en su carácter de fiduciario financiero.</w:t>
      </w:r>
    </w:p>
    <w:p w14:paraId="20531CAF" w14:textId="77777777" w:rsidR="005E0114" w:rsidRPr="00AE76C5" w:rsidRDefault="005E0114" w:rsidP="005E0114">
      <w:pPr>
        <w:pStyle w:val="Prrafodelista"/>
        <w:spacing w:after="0" w:line="240" w:lineRule="auto"/>
        <w:ind w:leftChars="385" w:left="850" w:firstLineChars="0" w:hanging="3"/>
        <w:jc w:val="both"/>
        <w:rPr>
          <w:rFonts w:ascii="Times New Roman" w:eastAsia="Times New Roman" w:hAnsi="Times New Roman" w:cs="Times New Roman"/>
          <w:lang w:val="es-AR" w:bidi="es-ES"/>
        </w:rPr>
      </w:pPr>
    </w:p>
    <w:p w14:paraId="2F8039A5" w14:textId="77777777" w:rsidR="005E0114" w:rsidRDefault="005E0114" w:rsidP="005E0114">
      <w:pPr>
        <w:pStyle w:val="Prrafodelista"/>
        <w:spacing w:after="0" w:line="240" w:lineRule="auto"/>
        <w:ind w:leftChars="385" w:left="850" w:firstLineChars="0" w:hanging="3"/>
        <w:jc w:val="both"/>
        <w:rPr>
          <w:rFonts w:ascii="Times New Roman" w:eastAsia="Times New Roman" w:hAnsi="Times New Roman" w:cs="Times New Roman"/>
          <w:lang w:val="es-AR" w:bidi="es-ES"/>
        </w:rPr>
      </w:pPr>
      <w:r w:rsidRPr="00AE76C5">
        <w:rPr>
          <w:rFonts w:ascii="Times New Roman" w:eastAsia="Times New Roman" w:hAnsi="Times New Roman" w:cs="Times New Roman"/>
          <w:lang w:val="es-AR" w:bidi="es-ES"/>
        </w:rPr>
        <w:t>“</w:t>
      </w:r>
      <w:r w:rsidRPr="00AE76C5">
        <w:rPr>
          <w:rFonts w:ascii="Times New Roman" w:eastAsia="Times New Roman" w:hAnsi="Times New Roman" w:cs="Times New Roman"/>
          <w:u w:val="single"/>
          <w:lang w:val="es-AR" w:bidi="es-ES"/>
        </w:rPr>
        <w:t>Participación Catalinas</w:t>
      </w:r>
      <w:r w:rsidRPr="00AE76C5">
        <w:rPr>
          <w:rFonts w:ascii="Times New Roman" w:eastAsia="Times New Roman" w:hAnsi="Times New Roman" w:cs="Times New Roman"/>
          <w:lang w:val="es-AR" w:bidi="es-ES"/>
        </w:rPr>
        <w:t>” significa (i) el carácter de la Sociedad de fiduciante y beneficiario del Fideicomiso Catalinas; (ii) la titularidad de la Sociedad de ciertos valores fiduciarios representativos de deuda emitidos bajo el Fideicomiso Catalinas; y (iii) la titularidad de la Sociedad de un certificado de participación emitido bajo el Fideicomiso Catalinas que representa el 47,7535% de la totalidad de los certificados de participación emitidos bajo el Fideicomiso Catalinas.</w:t>
      </w:r>
    </w:p>
    <w:p w14:paraId="65304123" w14:textId="77777777" w:rsidR="005E0114" w:rsidRDefault="005E0114" w:rsidP="005E0114">
      <w:pPr>
        <w:pStyle w:val="Prrafodelista"/>
        <w:spacing w:after="0" w:line="240" w:lineRule="auto"/>
        <w:ind w:leftChars="129" w:left="850" w:firstLineChars="0" w:hanging="566"/>
        <w:jc w:val="both"/>
        <w:rPr>
          <w:rFonts w:ascii="Times New Roman" w:eastAsia="Times New Roman" w:hAnsi="Times New Roman" w:cs="Times New Roman"/>
          <w:lang w:val="es-AR" w:bidi="es-ES"/>
        </w:rPr>
      </w:pPr>
    </w:p>
    <w:p w14:paraId="073FBF86" w14:textId="77777777" w:rsidR="005E0114" w:rsidRPr="00A34772" w:rsidRDefault="005E0114" w:rsidP="005E0114">
      <w:pPr>
        <w:pStyle w:val="Prrafodelista"/>
        <w:numPr>
          <w:ilvl w:val="0"/>
          <w:numId w:val="18"/>
        </w:numPr>
        <w:spacing w:after="0" w:line="240" w:lineRule="auto"/>
        <w:ind w:leftChars="194" w:left="851" w:firstLineChars="0" w:hanging="424"/>
        <w:jc w:val="both"/>
        <w:rPr>
          <w:rFonts w:ascii="Times New Roman" w:eastAsia="Times New Roman" w:hAnsi="Times New Roman" w:cs="Times New Roman"/>
          <w:lang w:bidi="es-ES"/>
        </w:rPr>
      </w:pPr>
      <w:r w:rsidRPr="00A34772">
        <w:rPr>
          <w:rFonts w:ascii="Times New Roman" w:eastAsia="Times New Roman" w:hAnsi="Times New Roman" w:cs="Times New Roman"/>
          <w:lang w:bidi="es-ES"/>
        </w:rPr>
        <w:t>En caso que la Sociedad obtenga el consentimiento de la Mayoría Necesaria para la Propuesta</w:t>
      </w:r>
      <w:r w:rsidRPr="00A34772">
        <w:rPr>
          <w:rFonts w:ascii="Times New Roman" w:eastAsia="Times New Roman" w:hAnsi="Times New Roman" w:cs="Times New Roman"/>
          <w:lang w:val="es-MX" w:bidi="es-ES"/>
        </w:rPr>
        <w:t xml:space="preserve">, </w:t>
      </w:r>
      <w:r>
        <w:rPr>
          <w:rFonts w:ascii="Times New Roman" w:eastAsia="Times New Roman" w:hAnsi="Times New Roman" w:cs="Times New Roman"/>
          <w:lang w:val="es-MX" w:bidi="es-ES"/>
        </w:rPr>
        <w:t xml:space="preserve">reemplazar íntegramente el apartado </w:t>
      </w:r>
      <w:r w:rsidRPr="00FA4E96">
        <w:rPr>
          <w:rFonts w:ascii="Times New Roman" w:eastAsia="Times New Roman" w:hAnsi="Times New Roman" w:cs="Times New Roman"/>
          <w:i/>
          <w:lang w:val="es-MX" w:bidi="es-ES"/>
        </w:rPr>
        <w:t>“(VII) D</w:t>
      </w:r>
      <w:r>
        <w:rPr>
          <w:rFonts w:ascii="Times New Roman" w:eastAsia="Times New Roman" w:hAnsi="Times New Roman" w:cs="Times New Roman"/>
          <w:i/>
          <w:lang w:val="es-MX" w:bidi="es-ES"/>
        </w:rPr>
        <w:t xml:space="preserve">erecho de la </w:t>
      </w:r>
      <w:r w:rsidRPr="00FA4E96">
        <w:rPr>
          <w:rFonts w:ascii="Times New Roman" w:eastAsia="Times New Roman" w:hAnsi="Times New Roman" w:cs="Times New Roman"/>
          <w:i/>
          <w:lang w:val="es-MX" w:bidi="es-ES"/>
        </w:rPr>
        <w:t>S</w:t>
      </w:r>
      <w:r>
        <w:rPr>
          <w:rFonts w:ascii="Times New Roman" w:eastAsia="Times New Roman" w:hAnsi="Times New Roman" w:cs="Times New Roman"/>
          <w:i/>
          <w:lang w:val="es-MX" w:bidi="es-ES"/>
        </w:rPr>
        <w:t>ociedad de liberar de la Garantía a la Prenda</w:t>
      </w:r>
      <w:r w:rsidRPr="00FA4E96">
        <w:rPr>
          <w:rFonts w:ascii="Times New Roman" w:eastAsia="Times New Roman" w:hAnsi="Times New Roman" w:cs="Times New Roman"/>
          <w:lang w:bidi="es-ES"/>
        </w:rPr>
        <w:t>”</w:t>
      </w:r>
      <w:r>
        <w:rPr>
          <w:rFonts w:ascii="Times New Roman" w:eastAsia="Times New Roman" w:hAnsi="Times New Roman" w:cs="Times New Roman"/>
          <w:lang w:bidi="es-ES"/>
        </w:rPr>
        <w:t xml:space="preserve"> de la Tercer Adenda por el siguiente</w:t>
      </w:r>
      <w:r w:rsidRPr="00A34772">
        <w:rPr>
          <w:rFonts w:ascii="Times New Roman" w:eastAsia="Times New Roman" w:hAnsi="Times New Roman" w:cs="Times New Roman"/>
          <w:lang w:bidi="es-ES"/>
        </w:rPr>
        <w:t xml:space="preserve">: </w:t>
      </w:r>
    </w:p>
    <w:p w14:paraId="33A3290F" w14:textId="77777777" w:rsidR="005E0114" w:rsidRPr="00A34772" w:rsidRDefault="005E0114" w:rsidP="005E0114">
      <w:pPr>
        <w:pStyle w:val="Prrafodelista"/>
        <w:spacing w:after="0" w:line="240" w:lineRule="auto"/>
        <w:ind w:leftChars="0" w:left="993" w:firstLineChars="0" w:firstLine="0"/>
        <w:jc w:val="both"/>
        <w:rPr>
          <w:rFonts w:ascii="Times New Roman" w:eastAsia="Times New Roman" w:hAnsi="Times New Roman" w:cs="Times New Roman"/>
          <w:lang w:bidi="es-ES"/>
        </w:rPr>
      </w:pPr>
    </w:p>
    <w:p w14:paraId="156AF2D4" w14:textId="77777777" w:rsidR="005E0114" w:rsidRPr="00FA4E96" w:rsidRDefault="005E0114" w:rsidP="005E0114">
      <w:pPr>
        <w:pStyle w:val="Prrafodelista"/>
        <w:spacing w:after="0" w:line="240" w:lineRule="auto"/>
        <w:ind w:leftChars="0" w:left="993" w:firstLineChars="0" w:firstLine="0"/>
        <w:jc w:val="both"/>
        <w:rPr>
          <w:rFonts w:ascii="Times New Roman" w:eastAsia="Times New Roman" w:hAnsi="Times New Roman" w:cs="Times New Roman"/>
          <w:b/>
          <w:lang w:bidi="es-ES"/>
        </w:rPr>
      </w:pPr>
      <w:r w:rsidDel="00C8599A">
        <w:rPr>
          <w:rFonts w:ascii="Times New Roman" w:eastAsia="Times New Roman" w:hAnsi="Times New Roman" w:cs="Times New Roman"/>
          <w:i/>
          <w:lang w:bidi="es-ES"/>
        </w:rPr>
        <w:t xml:space="preserve"> </w:t>
      </w:r>
      <w:r>
        <w:rPr>
          <w:rFonts w:ascii="Times New Roman" w:eastAsia="Times New Roman" w:hAnsi="Times New Roman" w:cs="Times New Roman"/>
          <w:i/>
          <w:lang w:bidi="es-ES"/>
        </w:rPr>
        <w:t>VII</w:t>
      </w:r>
      <w:r w:rsidRPr="00A34772">
        <w:rPr>
          <w:rFonts w:ascii="Times New Roman" w:eastAsia="Times New Roman" w:hAnsi="Times New Roman" w:cs="Times New Roman"/>
          <w:i/>
          <w:lang w:bidi="es-ES"/>
        </w:rPr>
        <w:t>)</w:t>
      </w:r>
      <w:r w:rsidRPr="00A34772">
        <w:rPr>
          <w:rFonts w:ascii="Times New Roman" w:eastAsia="Times New Roman" w:hAnsi="Times New Roman" w:cs="Times New Roman"/>
          <w:lang w:bidi="es-ES"/>
        </w:rPr>
        <w:t xml:space="preserve"> </w:t>
      </w:r>
      <w:r w:rsidRPr="00A34772">
        <w:rPr>
          <w:rFonts w:ascii="Times New Roman" w:eastAsia="Times New Roman" w:hAnsi="Times New Roman" w:cs="Times New Roman"/>
          <w:i/>
          <w:lang w:bidi="es-ES"/>
        </w:rPr>
        <w:t xml:space="preserve">Derecho de la Sociedad de Cancelar la Hipoteca Hudson </w:t>
      </w:r>
    </w:p>
    <w:p w14:paraId="42F26257" w14:textId="77777777" w:rsidR="005E0114" w:rsidRDefault="005E0114" w:rsidP="005E0114">
      <w:pPr>
        <w:pStyle w:val="Prrafodelista"/>
        <w:spacing w:after="0" w:line="240" w:lineRule="auto"/>
        <w:ind w:leftChars="0" w:left="993" w:firstLineChars="0" w:firstLine="0"/>
        <w:jc w:val="both"/>
        <w:rPr>
          <w:rFonts w:ascii="Times New Roman" w:eastAsia="Times New Roman" w:hAnsi="Times New Roman" w:cs="Times New Roman"/>
          <w:lang w:bidi="es-ES"/>
        </w:rPr>
      </w:pPr>
    </w:p>
    <w:p w14:paraId="67B38DB4" w14:textId="77777777" w:rsidR="005E0114" w:rsidRPr="009F2B02" w:rsidRDefault="005E0114" w:rsidP="005E0114">
      <w:pPr>
        <w:pStyle w:val="Prrafodelista"/>
        <w:spacing w:after="0" w:line="240" w:lineRule="auto"/>
        <w:ind w:leftChars="0" w:left="993" w:firstLineChars="0" w:firstLine="0"/>
        <w:jc w:val="both"/>
        <w:rPr>
          <w:rFonts w:ascii="Times New Roman" w:hAnsi="Times New Roman" w:cs="Times New Roman"/>
          <w:i/>
          <w:lang w:bidi="es-ES"/>
        </w:rPr>
      </w:pPr>
      <w:r w:rsidRPr="00434311">
        <w:rPr>
          <w:rFonts w:ascii="Times New Roman" w:hAnsi="Times New Roman" w:cs="Times New Roman"/>
          <w:i/>
          <w:lang w:val="es-MX" w:bidi="es-ES"/>
        </w:rPr>
        <w:t>La Sociedad tendrá el derecho de cancelar la Hipoteca Hudson</w:t>
      </w:r>
      <w:r>
        <w:rPr>
          <w:rFonts w:ascii="Times New Roman" w:hAnsi="Times New Roman" w:cs="Times New Roman"/>
          <w:i/>
          <w:lang w:val="es-MX" w:bidi="es-ES"/>
        </w:rPr>
        <w:t xml:space="preserve"> </w:t>
      </w:r>
      <w:r w:rsidRPr="00434311">
        <w:rPr>
          <w:rFonts w:ascii="Times New Roman" w:hAnsi="Times New Roman" w:cs="Times New Roman"/>
          <w:i/>
          <w:lang w:val="es-MX" w:bidi="es-ES"/>
        </w:rPr>
        <w:t>siempre que</w:t>
      </w:r>
      <w:r>
        <w:rPr>
          <w:rFonts w:ascii="Times New Roman" w:hAnsi="Times New Roman" w:cs="Times New Roman"/>
          <w:i/>
          <w:lang w:val="es-MX" w:bidi="es-ES"/>
        </w:rPr>
        <w:t xml:space="preserve">, antes del 1° de agosto de 2022, </w:t>
      </w:r>
      <w:r w:rsidRPr="00434311">
        <w:rPr>
          <w:rFonts w:ascii="Times New Roman" w:hAnsi="Times New Roman" w:cs="Times New Roman"/>
          <w:i/>
          <w:lang w:val="es-MX" w:bidi="es-ES"/>
        </w:rPr>
        <w:t>se hubiere acordado</w:t>
      </w:r>
      <w:r>
        <w:rPr>
          <w:rFonts w:ascii="Times New Roman" w:hAnsi="Times New Roman" w:cs="Times New Roman"/>
          <w:i/>
          <w:lang w:val="es-MX" w:bidi="es-ES"/>
        </w:rPr>
        <w:t xml:space="preserve"> </w:t>
      </w:r>
      <w:r w:rsidRPr="00434311">
        <w:rPr>
          <w:rFonts w:ascii="Times New Roman" w:hAnsi="Times New Roman" w:cs="Times New Roman"/>
          <w:i/>
          <w:lang w:val="es-MX" w:bidi="es-ES"/>
        </w:rPr>
        <w:t>la venta del Inmueble Hudson a cualquier tercero</w:t>
      </w:r>
      <w:r>
        <w:rPr>
          <w:rFonts w:ascii="Times New Roman" w:hAnsi="Times New Roman" w:cs="Times New Roman"/>
          <w:i/>
          <w:lang w:val="es-MX" w:bidi="es-ES"/>
        </w:rPr>
        <w:t xml:space="preserve"> y en la medida que </w:t>
      </w:r>
      <w:r w:rsidRPr="00EE652E">
        <w:rPr>
          <w:rFonts w:ascii="Times New Roman" w:hAnsi="Times New Roman" w:cs="Times New Roman"/>
          <w:i/>
          <w:lang w:bidi="es-ES"/>
        </w:rPr>
        <w:t>los Tenedores que representen al menos el 66% del monto de capital total en circulación d</w:t>
      </w:r>
      <w:r>
        <w:rPr>
          <w:rFonts w:ascii="Times New Roman" w:hAnsi="Times New Roman" w:cs="Times New Roman"/>
          <w:i/>
          <w:lang w:bidi="es-ES"/>
        </w:rPr>
        <w:t xml:space="preserve">e las Obligaciones Negociables, </w:t>
      </w:r>
      <w:r w:rsidRPr="00EE652E">
        <w:rPr>
          <w:rFonts w:ascii="Times New Roman" w:hAnsi="Times New Roman" w:cs="Times New Roman"/>
          <w:i/>
          <w:lang w:bidi="es-ES"/>
        </w:rPr>
        <w:t>manifiesten su consentimiento de forma fehaciente con respecto a</w:t>
      </w:r>
      <w:r w:rsidRPr="00434311">
        <w:rPr>
          <w:rFonts w:ascii="Times New Roman" w:hAnsi="Times New Roman" w:cs="Times New Roman"/>
          <w:i/>
          <w:lang w:val="es-MX" w:bidi="es-ES"/>
        </w:rPr>
        <w:t xml:space="preserve"> </w:t>
      </w:r>
      <w:r>
        <w:rPr>
          <w:rFonts w:ascii="Times New Roman" w:hAnsi="Times New Roman" w:cs="Times New Roman"/>
          <w:i/>
          <w:lang w:val="es-MX" w:bidi="es-ES"/>
        </w:rPr>
        <w:t xml:space="preserve">dicha venta </w:t>
      </w:r>
      <w:r w:rsidRPr="00434311">
        <w:rPr>
          <w:rFonts w:ascii="Times New Roman" w:hAnsi="Times New Roman" w:cs="Times New Roman"/>
          <w:i/>
          <w:lang w:val="es-MX" w:bidi="es-ES"/>
        </w:rPr>
        <w:t>(la “</w:t>
      </w:r>
      <w:r w:rsidRPr="00434311">
        <w:rPr>
          <w:rFonts w:ascii="Times New Roman" w:hAnsi="Times New Roman" w:cs="Times New Roman"/>
          <w:i/>
          <w:u w:val="single"/>
          <w:lang w:val="es-MX" w:bidi="es-ES"/>
        </w:rPr>
        <w:t>Cancelación de la Hipoteca Hudson</w:t>
      </w:r>
      <w:r w:rsidRPr="00434311">
        <w:rPr>
          <w:rFonts w:ascii="Times New Roman" w:hAnsi="Times New Roman" w:cs="Times New Roman"/>
          <w:i/>
          <w:lang w:val="es-MX" w:bidi="es-ES"/>
        </w:rPr>
        <w:t>”)</w:t>
      </w:r>
      <w:r>
        <w:rPr>
          <w:rFonts w:ascii="Times New Roman" w:hAnsi="Times New Roman" w:cs="Times New Roman"/>
          <w:i/>
          <w:lang w:val="es-MX" w:bidi="es-ES"/>
        </w:rPr>
        <w:t xml:space="preserve">.  En caso de producirse la Cancelación de la Hipoteca Hudson, queda expresamente establecido que (i) el precio de venta del Inmueble </w:t>
      </w:r>
      <w:r>
        <w:rPr>
          <w:rFonts w:ascii="Times New Roman" w:hAnsi="Times New Roman" w:cs="Times New Roman"/>
          <w:i/>
          <w:lang w:val="es-MX" w:bidi="es-ES"/>
        </w:rPr>
        <w:lastRenderedPageBreak/>
        <w:t xml:space="preserve">Hudson deberá ser aprobado por </w:t>
      </w:r>
      <w:r w:rsidRPr="00EE652E">
        <w:rPr>
          <w:rFonts w:ascii="Times New Roman" w:hAnsi="Times New Roman" w:cs="Times New Roman"/>
          <w:i/>
          <w:lang w:bidi="es-ES"/>
        </w:rPr>
        <w:t>los Tenedores que representen al menos el 66% del monto de capital total en circulación d</w:t>
      </w:r>
      <w:r>
        <w:rPr>
          <w:rFonts w:ascii="Times New Roman" w:hAnsi="Times New Roman" w:cs="Times New Roman"/>
          <w:i/>
          <w:lang w:bidi="es-ES"/>
        </w:rPr>
        <w:t>e las Obligaciones Negociables; (ii)</w:t>
      </w:r>
      <w:r w:rsidRPr="009F2B02">
        <w:rPr>
          <w:rFonts w:ascii="Times New Roman" w:hAnsi="Times New Roman" w:cs="Times New Roman"/>
          <w:i/>
          <w:lang w:val="es-MX" w:bidi="es-ES"/>
        </w:rPr>
        <w:t xml:space="preserve"> la Sociedad aplicará los fondos obtenidos de la venta del Inmueble Hudson para: (</w:t>
      </w:r>
      <w:r>
        <w:rPr>
          <w:rFonts w:ascii="Times New Roman" w:hAnsi="Times New Roman" w:cs="Times New Roman"/>
          <w:i/>
          <w:lang w:val="es-MX" w:bidi="es-ES"/>
        </w:rPr>
        <w:t>a)</w:t>
      </w:r>
      <w:r w:rsidRPr="009F2B02">
        <w:rPr>
          <w:rFonts w:ascii="Times New Roman" w:hAnsi="Times New Roman" w:cs="Times New Roman"/>
          <w:i/>
          <w:lang w:val="es-MX" w:bidi="es-ES"/>
        </w:rPr>
        <w:t xml:space="preserve"> </w:t>
      </w:r>
      <w:r>
        <w:rPr>
          <w:rFonts w:ascii="Times New Roman" w:hAnsi="Times New Roman" w:cs="Times New Roman"/>
          <w:i/>
          <w:lang w:val="es-MX" w:bidi="es-ES"/>
        </w:rPr>
        <w:t xml:space="preserve">el 11 de agosto de 2022, </w:t>
      </w:r>
      <w:r w:rsidRPr="009F2B02">
        <w:rPr>
          <w:rFonts w:ascii="Times New Roman" w:hAnsi="Times New Roman" w:cs="Times New Roman"/>
          <w:i/>
          <w:lang w:val="es-MX" w:bidi="es-ES"/>
        </w:rPr>
        <w:t xml:space="preserve">cancelar el </w:t>
      </w:r>
      <w:r>
        <w:rPr>
          <w:rFonts w:ascii="Times New Roman" w:hAnsi="Times New Roman" w:cs="Times New Roman"/>
          <w:i/>
          <w:lang w:val="es-MX" w:bidi="es-ES"/>
        </w:rPr>
        <w:t>2</w:t>
      </w:r>
      <w:r w:rsidRPr="009F2B02">
        <w:rPr>
          <w:rFonts w:ascii="Times New Roman" w:hAnsi="Times New Roman" w:cs="Times New Roman"/>
          <w:i/>
          <w:lang w:val="es-MX" w:bidi="es-ES"/>
        </w:rPr>
        <w:t xml:space="preserve">3,33% </w:t>
      </w:r>
      <w:r w:rsidRPr="009F2B02">
        <w:rPr>
          <w:rFonts w:ascii="Times New Roman" w:eastAsia="Times New Roman" w:hAnsi="Times New Roman" w:cs="Times New Roman"/>
          <w:i/>
          <w:lang w:val="es-AR" w:bidi="es-ES"/>
        </w:rPr>
        <w:t>del monto de capital adeudado bajo las Obligaciones Negociables en circulación incluyendo todos los intereses devengados hasta dicha fecha inclusive,</w:t>
      </w:r>
      <w:r w:rsidRPr="009F2B02">
        <w:rPr>
          <w:rFonts w:ascii="Times New Roman" w:hAnsi="Times New Roman" w:cs="Times New Roman"/>
          <w:i/>
          <w:lang w:val="es-MX" w:bidi="es-ES"/>
        </w:rPr>
        <w:t xml:space="preserve"> dejándose expresamente establecido que</w:t>
      </w:r>
      <w:r>
        <w:rPr>
          <w:rFonts w:ascii="Times New Roman" w:hAnsi="Times New Roman" w:cs="Times New Roman"/>
          <w:i/>
          <w:lang w:val="es-MX" w:bidi="es-ES"/>
        </w:rPr>
        <w:t>,</w:t>
      </w:r>
      <w:r w:rsidRPr="009F2B02">
        <w:rPr>
          <w:rFonts w:ascii="Times New Roman" w:hAnsi="Times New Roman" w:cs="Times New Roman"/>
          <w:i/>
          <w:lang w:val="es-MX" w:bidi="es-ES"/>
        </w:rPr>
        <w:t xml:space="preserve"> </w:t>
      </w:r>
      <w:r>
        <w:rPr>
          <w:rFonts w:ascii="Times New Roman" w:hAnsi="Times New Roman" w:cs="Times New Roman"/>
          <w:i/>
          <w:lang w:val="es-MX" w:bidi="es-ES"/>
        </w:rPr>
        <w:t xml:space="preserve">en </w:t>
      </w:r>
      <w:r w:rsidRPr="009F2B02">
        <w:rPr>
          <w:rFonts w:ascii="Times New Roman" w:hAnsi="Times New Roman" w:cs="Times New Roman"/>
          <w:i/>
          <w:lang w:val="es-MX" w:bidi="es-ES"/>
        </w:rPr>
        <w:t xml:space="preserve">dicha </w:t>
      </w:r>
      <w:r>
        <w:rPr>
          <w:rFonts w:ascii="Times New Roman" w:hAnsi="Times New Roman" w:cs="Times New Roman"/>
          <w:i/>
          <w:lang w:val="es-MX" w:bidi="es-ES"/>
        </w:rPr>
        <w:t>fecha, también será cancelado</w:t>
      </w:r>
      <w:r w:rsidRPr="009F2B02">
        <w:rPr>
          <w:rFonts w:ascii="Times New Roman" w:hAnsi="Times New Roman" w:cs="Times New Roman"/>
          <w:i/>
          <w:lang w:val="es-MX" w:bidi="es-ES"/>
        </w:rPr>
        <w:t xml:space="preserve"> </w:t>
      </w:r>
      <w:r>
        <w:rPr>
          <w:rFonts w:ascii="Times New Roman" w:hAnsi="Times New Roman" w:cs="Times New Roman"/>
          <w:i/>
          <w:lang w:val="es-MX" w:bidi="es-ES"/>
        </w:rPr>
        <w:t>e</w:t>
      </w:r>
      <w:r w:rsidRPr="009F2B02">
        <w:rPr>
          <w:rFonts w:ascii="Times New Roman" w:hAnsi="Times New Roman" w:cs="Times New Roman"/>
          <w:i/>
          <w:lang w:val="es-MX" w:bidi="es-ES"/>
        </w:rPr>
        <w:t xml:space="preserve">l 10,00% </w:t>
      </w:r>
      <w:r w:rsidRPr="009F2B02">
        <w:rPr>
          <w:rFonts w:ascii="Times New Roman" w:eastAsia="Times New Roman" w:hAnsi="Times New Roman" w:cs="Times New Roman"/>
          <w:i/>
          <w:lang w:val="es-AR" w:bidi="es-ES"/>
        </w:rPr>
        <w:t>del monto de capital adeudado bajo las Obligaciones Negociables</w:t>
      </w:r>
      <w:r>
        <w:rPr>
          <w:rFonts w:ascii="Times New Roman" w:eastAsia="Times New Roman" w:hAnsi="Times New Roman" w:cs="Times New Roman"/>
          <w:i/>
          <w:lang w:val="es-AR" w:bidi="es-ES"/>
        </w:rPr>
        <w:t xml:space="preserve">, </w:t>
      </w:r>
      <w:r>
        <w:rPr>
          <w:rFonts w:ascii="Times New Roman" w:hAnsi="Times New Roman" w:cs="Times New Roman"/>
          <w:i/>
          <w:lang w:val="es-MX" w:bidi="es-ES"/>
        </w:rPr>
        <w:t>establecido</w:t>
      </w:r>
      <w:r w:rsidRPr="009F2B02">
        <w:rPr>
          <w:rFonts w:ascii="Times New Roman" w:hAnsi="Times New Roman" w:cs="Times New Roman"/>
          <w:i/>
          <w:lang w:val="es-MX" w:bidi="es-ES"/>
        </w:rPr>
        <w:t xml:space="preserve"> en el inciso (i) del</w:t>
      </w:r>
      <w:r w:rsidRPr="009F2B02">
        <w:rPr>
          <w:rFonts w:ascii="Times New Roman" w:hAnsi="Times New Roman" w:cs="Times New Roman"/>
          <w:i/>
          <w:lang w:bidi="es-ES"/>
        </w:rPr>
        <w:t xml:space="preserve"> apartado “Términos y Condiciones de las Obligaciones Negociables -- Términos y Condiciones Particulares de las Obligaciones Negociables Clase XVI -- Amortización en Caso de Acuerdo con </w:t>
      </w:r>
      <w:proofErr w:type="spellStart"/>
      <w:r w:rsidRPr="009F2B02">
        <w:rPr>
          <w:rFonts w:ascii="Times New Roman" w:hAnsi="Times New Roman" w:cs="Times New Roman"/>
          <w:i/>
          <w:lang w:bidi="es-ES"/>
        </w:rPr>
        <w:t>Itaú</w:t>
      </w:r>
      <w:proofErr w:type="spellEnd"/>
      <w:r w:rsidRPr="009F2B02">
        <w:rPr>
          <w:rFonts w:ascii="Times New Roman" w:hAnsi="Times New Roman" w:cs="Times New Roman"/>
          <w:i/>
          <w:lang w:bidi="es-ES"/>
        </w:rPr>
        <w:t xml:space="preserve"> sobre la Participación en Catalinas” de la Tercer Adenda</w:t>
      </w:r>
      <w:r>
        <w:rPr>
          <w:rFonts w:ascii="Times New Roman" w:hAnsi="Times New Roman" w:cs="Times New Roman"/>
          <w:i/>
          <w:lang w:bidi="es-ES"/>
        </w:rPr>
        <w:t xml:space="preserve">, </w:t>
      </w:r>
      <w:r>
        <w:rPr>
          <w:rFonts w:ascii="Times New Roman" w:eastAsia="Times New Roman" w:hAnsi="Times New Roman" w:cs="Times New Roman"/>
          <w:i/>
          <w:lang w:val="es-AR" w:bidi="es-ES"/>
        </w:rPr>
        <w:t xml:space="preserve">respecto de la cancelación del 10% </w:t>
      </w:r>
      <w:r w:rsidRPr="008755F6">
        <w:rPr>
          <w:rFonts w:ascii="Times New Roman" w:eastAsia="Times New Roman" w:hAnsi="Times New Roman" w:cs="Times New Roman"/>
          <w:i/>
          <w:lang w:val="es-AR" w:bidi="es-ES"/>
        </w:rPr>
        <w:t>del monto de capital adeudado bajo las Obligaciones Negociables</w:t>
      </w:r>
      <w:r>
        <w:rPr>
          <w:rFonts w:ascii="Times New Roman" w:eastAsia="Times New Roman" w:hAnsi="Times New Roman" w:cs="Times New Roman"/>
          <w:i/>
          <w:lang w:val="es-AR" w:bidi="es-ES"/>
        </w:rPr>
        <w:t xml:space="preserve"> a realizarse el 11 de agosto de 2022, se deja expresamente establecido que la quita del 20%</w:t>
      </w:r>
      <w:r>
        <w:rPr>
          <w:rFonts w:ascii="Times New Roman" w:hAnsi="Times New Roman" w:cs="Times New Roman"/>
          <w:i/>
          <w:lang w:bidi="es-ES"/>
        </w:rPr>
        <w:t xml:space="preserve"> acordada solo será de aplicación en la medida en que, en dicha fecha, la Sociedad cumpla de forma completa y de manera íntegra y acabada  (incluyendo la moneda originalmente pactada) con su obligación de pago; </w:t>
      </w:r>
      <w:r w:rsidRPr="009F2B02">
        <w:rPr>
          <w:rFonts w:ascii="Times New Roman" w:eastAsia="Times New Roman" w:hAnsi="Times New Roman" w:cs="Times New Roman"/>
          <w:i/>
          <w:lang w:val="es-AR" w:bidi="es-ES"/>
        </w:rPr>
        <w:t>y (b) el 11 de febrero de  2023, cancelar el 66,66% del monto de capital adeudado bajo las Obligaciones Negociables en circulación incluyendo todos los intereses devengados hasta dicha fecha inclusive</w:t>
      </w:r>
      <w:r>
        <w:rPr>
          <w:rFonts w:ascii="Times New Roman" w:eastAsia="Times New Roman" w:hAnsi="Times New Roman" w:cs="Times New Roman"/>
          <w:i/>
          <w:lang w:val="es-AR" w:bidi="es-ES"/>
        </w:rPr>
        <w:t xml:space="preserve">; (iii) en caso de que la Sociedad realice </w:t>
      </w:r>
      <w:r>
        <w:rPr>
          <w:rFonts w:ascii="Times New Roman" w:hAnsi="Times New Roman" w:cs="Times New Roman"/>
          <w:i/>
          <w:lang w:bidi="es-ES"/>
        </w:rPr>
        <w:t>de forma completa y de manera íntegra y acabada la cancelación</w:t>
      </w:r>
      <w:r w:rsidRPr="009F2B02">
        <w:rPr>
          <w:rFonts w:ascii="Times New Roman" w:eastAsia="Times New Roman" w:hAnsi="Times New Roman" w:cs="Times New Roman"/>
          <w:i/>
          <w:lang w:val="es-AR" w:bidi="es-ES"/>
        </w:rPr>
        <w:t xml:space="preserve"> del 23,33% y 66,66% de los montos de capital adeudados bajo las Obligaciones Negociables en circulación</w:t>
      </w:r>
      <w:r>
        <w:rPr>
          <w:rFonts w:ascii="Times New Roman" w:eastAsia="Times New Roman" w:hAnsi="Times New Roman" w:cs="Times New Roman"/>
          <w:i/>
          <w:lang w:val="es-AR" w:bidi="es-ES"/>
        </w:rPr>
        <w:t>,</w:t>
      </w:r>
      <w:r w:rsidRPr="009F2B02">
        <w:rPr>
          <w:rFonts w:ascii="Times New Roman" w:eastAsia="Times New Roman" w:hAnsi="Times New Roman" w:cs="Times New Roman"/>
          <w:i/>
          <w:lang w:val="es-AR" w:bidi="es-ES"/>
        </w:rPr>
        <w:t xml:space="preserve"> incluyendo todos los intereses devengados hasta dichas fechas inclusive, mencionadas en (a) y (b) precedentes, </w:t>
      </w:r>
      <w:r>
        <w:rPr>
          <w:rFonts w:ascii="Times New Roman" w:eastAsia="Times New Roman" w:hAnsi="Times New Roman" w:cs="Times New Roman"/>
          <w:i/>
          <w:lang w:val="es-AR" w:bidi="es-ES"/>
        </w:rPr>
        <w:t>aplicará al pago a ser realizado el 11 de febrero de 2023 una quita del 20% al que se le adicionará una quita equivalente al 20% del pago del 23,33% realizado por la Sociedad el 11 de agosto de 2022</w:t>
      </w:r>
      <w:r w:rsidRPr="009F2B02">
        <w:rPr>
          <w:rFonts w:ascii="Times New Roman" w:hAnsi="Times New Roman" w:cs="Times New Roman"/>
          <w:i/>
          <w:lang w:bidi="es-ES"/>
        </w:rPr>
        <w:t xml:space="preserve">; y (iv) las garantías a ser otorgadas por la Sociedad para garantizar </w:t>
      </w:r>
      <w:r w:rsidRPr="009F2B02">
        <w:rPr>
          <w:rFonts w:ascii="Times New Roman" w:eastAsia="Times New Roman" w:hAnsi="Times New Roman" w:cs="Times New Roman"/>
          <w:i/>
          <w:lang w:val="es-AR" w:bidi="es-ES"/>
        </w:rPr>
        <w:t>las cancelaciones del 23,33% y 66,66% de los montos de capital adeudados bajo las Obligaciones Negociables en circulación</w:t>
      </w:r>
      <w:r>
        <w:rPr>
          <w:rFonts w:ascii="Times New Roman" w:eastAsia="Times New Roman" w:hAnsi="Times New Roman" w:cs="Times New Roman"/>
          <w:i/>
          <w:lang w:val="es-AR" w:bidi="es-ES"/>
        </w:rPr>
        <w:t>,</w:t>
      </w:r>
      <w:r w:rsidRPr="009F2B02">
        <w:rPr>
          <w:rFonts w:ascii="Times New Roman" w:eastAsia="Times New Roman" w:hAnsi="Times New Roman" w:cs="Times New Roman"/>
          <w:i/>
          <w:lang w:val="es-AR" w:bidi="es-ES"/>
        </w:rPr>
        <w:t xml:space="preserve"> incluyendo todos los intereses devengados hasta dichas fechas inclusive, mencionadas en (a) y (b) precedentes, serán acordadas entre la Sociedad y los </w:t>
      </w:r>
      <w:r w:rsidRPr="009F2B02">
        <w:rPr>
          <w:rFonts w:ascii="Times New Roman" w:hAnsi="Times New Roman" w:cs="Times New Roman"/>
          <w:i/>
          <w:lang w:bidi="es-ES"/>
        </w:rPr>
        <w:t>Tenedores que representen al menos el 66% del monto de capital total en circulación de las Obligaciones Negociables.</w:t>
      </w:r>
    </w:p>
    <w:p w14:paraId="6E501405" w14:textId="77777777" w:rsidR="005E0114" w:rsidRPr="009F2B02" w:rsidRDefault="005E0114" w:rsidP="005E0114">
      <w:pPr>
        <w:spacing w:after="0" w:line="240" w:lineRule="auto"/>
        <w:ind w:leftChars="0" w:left="0" w:firstLineChars="0" w:hanging="2"/>
        <w:jc w:val="both"/>
        <w:rPr>
          <w:rFonts w:ascii="Times New Roman" w:eastAsia="Times New Roman" w:hAnsi="Times New Roman" w:cs="Times New Roman"/>
          <w:i/>
          <w:lang w:val="es-AR" w:bidi="es-ES"/>
        </w:rPr>
      </w:pPr>
    </w:p>
    <w:p w14:paraId="111CF7A9" w14:textId="77777777" w:rsidR="005E0114" w:rsidRPr="00A34772" w:rsidRDefault="005E0114" w:rsidP="005E0114">
      <w:pPr>
        <w:pStyle w:val="Prrafodelista"/>
        <w:numPr>
          <w:ilvl w:val="0"/>
          <w:numId w:val="18"/>
        </w:numPr>
        <w:spacing w:after="0" w:line="240" w:lineRule="auto"/>
        <w:ind w:leftChars="0" w:left="993" w:firstLineChars="0" w:hanging="567"/>
        <w:contextualSpacing w:val="0"/>
        <w:jc w:val="both"/>
        <w:rPr>
          <w:rFonts w:ascii="Times New Roman" w:hAnsi="Times New Roman" w:cs="Times New Roman"/>
          <w:lang w:bidi="es-ES"/>
        </w:rPr>
      </w:pPr>
      <w:r w:rsidRPr="00A34772">
        <w:rPr>
          <w:rFonts w:ascii="Times New Roman" w:eastAsia="Times New Roman" w:hAnsi="Times New Roman" w:cs="Times New Roman"/>
          <w:lang w:bidi="es-ES"/>
        </w:rPr>
        <w:t>En caso que la Sociedad obtenga el consentimiento de la Mayoría Necesaria para la Propuesta</w:t>
      </w:r>
      <w:r w:rsidRPr="00A34772">
        <w:rPr>
          <w:rFonts w:ascii="Times New Roman" w:eastAsia="Times New Roman" w:hAnsi="Times New Roman" w:cs="Times New Roman"/>
          <w:lang w:val="es-MX" w:bidi="es-ES"/>
        </w:rPr>
        <w:t xml:space="preserve">, suprimir </w:t>
      </w:r>
      <w:r>
        <w:rPr>
          <w:rFonts w:ascii="Times New Roman" w:eastAsia="Times New Roman" w:hAnsi="Times New Roman" w:cs="Times New Roman"/>
          <w:lang w:val="es-MX" w:bidi="es-ES"/>
        </w:rPr>
        <w:t xml:space="preserve">en su totalidad </w:t>
      </w:r>
      <w:r w:rsidRPr="00A34772">
        <w:rPr>
          <w:rFonts w:ascii="Times New Roman" w:eastAsia="Times New Roman" w:hAnsi="Times New Roman" w:cs="Times New Roman"/>
          <w:lang w:val="es-AR" w:bidi="es-ES"/>
        </w:rPr>
        <w:t xml:space="preserve">el apartado </w:t>
      </w:r>
      <w:r w:rsidRPr="00DC15EC">
        <w:rPr>
          <w:rFonts w:ascii="Times New Roman" w:eastAsia="Times New Roman" w:hAnsi="Times New Roman" w:cs="Times New Roman"/>
          <w:i/>
          <w:lang w:val="es-AR" w:bidi="es-ES"/>
        </w:rPr>
        <w:t xml:space="preserve">“Descripción de la Garantía relativa a las Obligaciones Negociables Clase XVI </w:t>
      </w:r>
      <w:r>
        <w:rPr>
          <w:rFonts w:ascii="Times New Roman" w:eastAsia="Times New Roman" w:hAnsi="Times New Roman" w:cs="Times New Roman"/>
          <w:i/>
          <w:lang w:val="es-AR" w:bidi="es-ES"/>
        </w:rPr>
        <w:t xml:space="preserve">en Caso de No Acuerdo con </w:t>
      </w:r>
      <w:proofErr w:type="spellStart"/>
      <w:r>
        <w:rPr>
          <w:rFonts w:ascii="Times New Roman" w:eastAsia="Times New Roman" w:hAnsi="Times New Roman" w:cs="Times New Roman"/>
          <w:i/>
          <w:lang w:val="es-AR" w:bidi="es-ES"/>
        </w:rPr>
        <w:t>Itaú</w:t>
      </w:r>
      <w:proofErr w:type="spellEnd"/>
      <w:r>
        <w:rPr>
          <w:rFonts w:ascii="Times New Roman" w:eastAsia="Times New Roman" w:hAnsi="Times New Roman" w:cs="Times New Roman"/>
          <w:i/>
          <w:lang w:val="es-AR" w:bidi="es-ES"/>
        </w:rPr>
        <w:t xml:space="preserve"> sobre la Participación en Catalinas </w:t>
      </w:r>
      <w:r w:rsidRPr="00DC15EC">
        <w:rPr>
          <w:rFonts w:ascii="Times New Roman" w:eastAsia="Times New Roman" w:hAnsi="Times New Roman" w:cs="Times New Roman"/>
          <w:i/>
          <w:lang w:val="es-AR" w:bidi="es-ES"/>
        </w:rPr>
        <w:t>- Garantía de las Obligaciones Negociables Clase XVI</w:t>
      </w:r>
      <w:r w:rsidRPr="00DC15EC">
        <w:rPr>
          <w:rFonts w:ascii="Times New Roman" w:eastAsia="Times New Roman" w:hAnsi="Times New Roman" w:cs="Times New Roman"/>
          <w:lang w:val="es-AR" w:bidi="es-ES"/>
        </w:rPr>
        <w:t>”</w:t>
      </w:r>
      <w:r w:rsidRPr="00A34772">
        <w:rPr>
          <w:rFonts w:ascii="Times New Roman" w:eastAsia="Times New Roman" w:hAnsi="Times New Roman" w:cs="Times New Roman"/>
          <w:lang w:val="es-AR" w:bidi="es-ES"/>
        </w:rPr>
        <w:t xml:space="preserve"> de</w:t>
      </w:r>
      <w:r>
        <w:rPr>
          <w:rFonts w:ascii="Times New Roman" w:eastAsia="Times New Roman" w:hAnsi="Times New Roman" w:cs="Times New Roman"/>
          <w:lang w:val="es-AR" w:bidi="es-ES"/>
        </w:rPr>
        <w:t xml:space="preserve"> </w:t>
      </w:r>
      <w:r w:rsidRPr="00A34772">
        <w:rPr>
          <w:rFonts w:ascii="Times New Roman" w:eastAsia="Times New Roman" w:hAnsi="Times New Roman" w:cs="Times New Roman"/>
          <w:lang w:val="es-AR" w:bidi="es-ES"/>
        </w:rPr>
        <w:t>l</w:t>
      </w:r>
      <w:r>
        <w:rPr>
          <w:rFonts w:ascii="Times New Roman" w:eastAsia="Times New Roman" w:hAnsi="Times New Roman" w:cs="Times New Roman"/>
          <w:lang w:val="es-AR" w:bidi="es-ES"/>
        </w:rPr>
        <w:t>a</w:t>
      </w:r>
      <w:r w:rsidRPr="00A34772">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Tercer Adenda.</w:t>
      </w:r>
    </w:p>
    <w:p w14:paraId="1F55BAFB" w14:textId="77777777" w:rsidR="005E0114" w:rsidRPr="00FA4E96" w:rsidRDefault="005E0114" w:rsidP="005E0114">
      <w:pPr>
        <w:pStyle w:val="Prrafodelista"/>
        <w:spacing w:after="0" w:line="240" w:lineRule="auto"/>
        <w:ind w:leftChars="515" w:left="1133" w:firstLineChars="0" w:firstLine="0"/>
        <w:contextualSpacing w:val="0"/>
        <w:jc w:val="both"/>
        <w:rPr>
          <w:rFonts w:ascii="Times New Roman" w:eastAsia="Times New Roman" w:hAnsi="Times New Roman" w:cs="Times New Roman"/>
          <w:i/>
          <w:lang w:val="es-AR" w:bidi="es-ES"/>
        </w:rPr>
      </w:pPr>
    </w:p>
    <w:p w14:paraId="36F2E595" w14:textId="77777777" w:rsidR="005E0114" w:rsidRDefault="005E0114" w:rsidP="005E0114">
      <w:pPr>
        <w:pStyle w:val="Prrafodelista"/>
        <w:numPr>
          <w:ilvl w:val="0"/>
          <w:numId w:val="18"/>
        </w:numPr>
        <w:spacing w:after="0" w:line="240" w:lineRule="auto"/>
        <w:ind w:leftChars="0" w:left="992" w:firstLineChars="0" w:hanging="567"/>
        <w:contextualSpacing w:val="0"/>
        <w:jc w:val="both"/>
        <w:rPr>
          <w:rFonts w:ascii="Times New Roman" w:eastAsia="Times New Roman" w:hAnsi="Times New Roman" w:cs="Times New Roman"/>
          <w:lang w:bidi="es-ES"/>
        </w:rPr>
      </w:pPr>
      <w:r>
        <w:rPr>
          <w:rFonts w:ascii="Times New Roman" w:eastAsia="Times New Roman" w:hAnsi="Times New Roman" w:cs="Times New Roman"/>
          <w:lang w:bidi="es-ES"/>
        </w:rPr>
        <w:t>En caso</w:t>
      </w:r>
      <w:r w:rsidRPr="009E711B">
        <w:rPr>
          <w:rFonts w:ascii="Times New Roman" w:eastAsia="Times New Roman" w:hAnsi="Times New Roman" w:cs="Times New Roman"/>
          <w:lang w:bidi="es-ES"/>
        </w:rPr>
        <w:t xml:space="preserve">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reemplazar en su totalidad </w:t>
      </w:r>
      <w:r>
        <w:rPr>
          <w:rFonts w:ascii="Times New Roman" w:eastAsia="Times New Roman" w:hAnsi="Times New Roman" w:cs="Times New Roman"/>
          <w:lang w:bidi="es-ES"/>
        </w:rPr>
        <w:t>el</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apartado</w:t>
      </w:r>
      <w:r w:rsidRPr="004B1607">
        <w:rPr>
          <w:rFonts w:ascii="Times New Roman" w:eastAsia="Times New Roman" w:hAnsi="Times New Roman" w:cs="Times New Roman"/>
          <w:lang w:bidi="es-ES"/>
        </w:rPr>
        <w:t xml:space="preserve"> </w:t>
      </w:r>
      <w:r w:rsidRPr="004B1607">
        <w:rPr>
          <w:rFonts w:ascii="Times New Roman" w:eastAsia="Times New Roman" w:hAnsi="Times New Roman" w:cs="Times New Roman"/>
          <w:i/>
          <w:lang w:bidi="es-ES"/>
        </w:rPr>
        <w:t>“</w:t>
      </w:r>
      <w:r>
        <w:rPr>
          <w:rFonts w:ascii="Times New Roman" w:eastAsia="Times New Roman" w:hAnsi="Times New Roman" w:cs="Times New Roman"/>
          <w:i/>
          <w:lang w:bidi="es-ES"/>
        </w:rPr>
        <w:t xml:space="preserve">Descripción de la Garantía relativa a las Obligaciones Negociables Clase XVI </w:t>
      </w:r>
      <w:r w:rsidRPr="004B1607">
        <w:rPr>
          <w:rFonts w:ascii="Times New Roman" w:eastAsia="Times New Roman" w:hAnsi="Times New Roman" w:cs="Times New Roman"/>
          <w:i/>
          <w:lang w:bidi="es-ES"/>
        </w:rPr>
        <w:t xml:space="preserve">en Caso de Acuerdo con </w:t>
      </w:r>
      <w:proofErr w:type="spellStart"/>
      <w:r w:rsidRPr="004B1607">
        <w:rPr>
          <w:rFonts w:ascii="Times New Roman" w:eastAsia="Times New Roman" w:hAnsi="Times New Roman" w:cs="Times New Roman"/>
          <w:i/>
          <w:lang w:bidi="es-ES"/>
        </w:rPr>
        <w:t>Itaú</w:t>
      </w:r>
      <w:proofErr w:type="spellEnd"/>
      <w:r w:rsidRPr="004B1607">
        <w:rPr>
          <w:rFonts w:ascii="Times New Roman" w:eastAsia="Times New Roman" w:hAnsi="Times New Roman" w:cs="Times New Roman"/>
          <w:i/>
          <w:lang w:bidi="es-ES"/>
        </w:rPr>
        <w:t xml:space="preserve"> sobre la Participación en Catalinas</w:t>
      </w:r>
      <w:r w:rsidRPr="004B1607">
        <w:rPr>
          <w:rFonts w:ascii="Times New Roman" w:eastAsia="Times New Roman" w:hAnsi="Times New Roman" w:cs="Times New Roman"/>
          <w:lang w:bidi="es-ES"/>
        </w:rPr>
        <w:t>” de</w:t>
      </w:r>
      <w:r>
        <w:rPr>
          <w:rFonts w:ascii="Times New Roman" w:eastAsia="Times New Roman" w:hAnsi="Times New Roman" w:cs="Times New Roman"/>
          <w:lang w:bidi="es-ES"/>
        </w:rPr>
        <w:t xml:space="preserve"> la</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Tercer Adenda,</w:t>
      </w:r>
      <w:r w:rsidRPr="005407CD">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por el siguiente</w:t>
      </w:r>
      <w:r>
        <w:rPr>
          <w:rFonts w:ascii="Times New Roman" w:eastAsia="Times New Roman" w:hAnsi="Times New Roman" w:cs="Times New Roman"/>
          <w:lang w:bidi="es-ES"/>
        </w:rPr>
        <w:t>:</w:t>
      </w:r>
    </w:p>
    <w:p w14:paraId="1F5E5A06" w14:textId="77777777" w:rsidR="005E0114"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lang w:bidi="es-ES"/>
        </w:rPr>
      </w:pPr>
    </w:p>
    <w:p w14:paraId="01B06A4E" w14:textId="77777777" w:rsidR="005E0114"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i/>
          <w:lang w:val="es-MX" w:bidi="es-ES"/>
        </w:rPr>
      </w:pPr>
      <w:r w:rsidRPr="00A34772">
        <w:rPr>
          <w:rFonts w:ascii="Times New Roman" w:hAnsi="Times New Roman" w:cs="Times New Roman"/>
          <w:i/>
          <w:lang w:bidi="es-ES"/>
        </w:rPr>
        <w:t xml:space="preserve">Las Obligaciones Negociables estarán garantizadas </w:t>
      </w:r>
      <w:r>
        <w:rPr>
          <w:rFonts w:ascii="Times New Roman" w:hAnsi="Times New Roman" w:cs="Times New Roman"/>
          <w:i/>
          <w:lang w:bidi="es-ES"/>
        </w:rPr>
        <w:t xml:space="preserve">por (i) </w:t>
      </w:r>
      <w:r w:rsidRPr="00A34772">
        <w:rPr>
          <w:rFonts w:ascii="Times New Roman" w:hAnsi="Times New Roman" w:cs="Times New Roman"/>
          <w:i/>
          <w:lang w:bidi="es-ES"/>
        </w:rPr>
        <w:t>el Fideicomiso MP</w:t>
      </w:r>
      <w:r>
        <w:rPr>
          <w:rFonts w:ascii="Times New Roman" w:hAnsi="Times New Roman" w:cs="Times New Roman"/>
          <w:i/>
          <w:lang w:bidi="es-ES"/>
        </w:rPr>
        <w:t xml:space="preserve">N; y (ii) </w:t>
      </w:r>
      <w:r w:rsidRPr="000F5D25">
        <w:rPr>
          <w:rFonts w:ascii="Times New Roman" w:eastAsia="Times New Roman" w:hAnsi="Times New Roman" w:cs="Times New Roman"/>
          <w:i/>
          <w:lang w:val="es-MX" w:bidi="es-ES"/>
        </w:rPr>
        <w:t>la constitución</w:t>
      </w:r>
      <w:r>
        <w:rPr>
          <w:rFonts w:ascii="Times New Roman" w:eastAsia="Times New Roman" w:hAnsi="Times New Roman" w:cs="Times New Roman"/>
          <w:i/>
          <w:lang w:val="es-MX" w:bidi="es-ES"/>
        </w:rPr>
        <w:t xml:space="preserve">, </w:t>
      </w:r>
      <w:r w:rsidRPr="000F5D25">
        <w:rPr>
          <w:rFonts w:ascii="Times New Roman" w:eastAsia="Times New Roman" w:hAnsi="Times New Roman" w:cs="Times New Roman"/>
          <w:i/>
          <w:lang w:val="es-MX" w:bidi="es-ES"/>
        </w:rPr>
        <w:t xml:space="preserve">en favor </w:t>
      </w:r>
      <w:r>
        <w:rPr>
          <w:rFonts w:ascii="Times New Roman" w:eastAsia="Times New Roman" w:hAnsi="Times New Roman" w:cs="Times New Roman"/>
          <w:i/>
          <w:lang w:val="es-MX" w:bidi="es-ES"/>
        </w:rPr>
        <w:t xml:space="preserve">y </w:t>
      </w:r>
      <w:r w:rsidRPr="00FA4E96">
        <w:rPr>
          <w:rFonts w:ascii="Times New Roman" w:eastAsia="Times New Roman" w:hAnsi="Times New Roman" w:cs="Times New Roman"/>
          <w:i/>
          <w:lang w:val="es-MX" w:bidi="es-ES"/>
        </w:rPr>
        <w:t xml:space="preserve">beneficio </w:t>
      </w:r>
      <w:r w:rsidRPr="000F5D25">
        <w:rPr>
          <w:rFonts w:ascii="Times New Roman" w:eastAsia="Times New Roman" w:hAnsi="Times New Roman" w:cs="Times New Roman"/>
          <w:i/>
          <w:lang w:val="es-MX" w:bidi="es-ES"/>
        </w:rPr>
        <w:t xml:space="preserve">de los Tenedores de las Obligaciones Negociables </w:t>
      </w:r>
      <w:r>
        <w:rPr>
          <w:rFonts w:ascii="Times New Roman" w:eastAsia="Times New Roman" w:hAnsi="Times New Roman" w:cs="Times New Roman"/>
          <w:i/>
          <w:lang w:val="es-MX" w:bidi="es-ES"/>
        </w:rPr>
        <w:t xml:space="preserve">y </w:t>
      </w:r>
      <w:r w:rsidRPr="00184175">
        <w:rPr>
          <w:rFonts w:ascii="Times New Roman" w:eastAsia="Times New Roman" w:hAnsi="Times New Roman" w:cs="Times New Roman"/>
          <w:i/>
          <w:lang w:val="es-AR" w:bidi="es-ES"/>
        </w:rPr>
        <w:t>por dec</w:t>
      </w:r>
      <w:r>
        <w:rPr>
          <w:rFonts w:ascii="Times New Roman" w:eastAsia="Times New Roman" w:hAnsi="Times New Roman" w:cs="Times New Roman"/>
          <w:i/>
          <w:lang w:val="es-AR" w:bidi="es-ES"/>
        </w:rPr>
        <w:t>laración unilateral de TGLT de conformidad con lo previsto por el</w:t>
      </w:r>
      <w:r w:rsidRPr="00184175">
        <w:rPr>
          <w:rFonts w:ascii="Times New Roman" w:eastAsia="Times New Roman" w:hAnsi="Times New Roman" w:cs="Times New Roman"/>
          <w:i/>
          <w:lang w:val="es-AR" w:bidi="es-ES"/>
        </w:rPr>
        <w:t xml:space="preserve"> artículo 3 de la Ley de Obligaciones Negociables</w:t>
      </w:r>
      <w:r>
        <w:rPr>
          <w:rFonts w:ascii="Times New Roman" w:eastAsia="Times New Roman" w:hAnsi="Times New Roman" w:cs="Times New Roman"/>
          <w:i/>
          <w:lang w:val="es-MX" w:bidi="es-ES"/>
        </w:rPr>
        <w:t>,</w:t>
      </w:r>
      <w:r w:rsidRPr="000F5D25">
        <w:rPr>
          <w:rFonts w:ascii="Times New Roman" w:eastAsia="Times New Roman" w:hAnsi="Times New Roman" w:cs="Times New Roman"/>
          <w:i/>
          <w:lang w:val="es-MX" w:bidi="es-ES"/>
        </w:rPr>
        <w:t xml:space="preserve"> </w:t>
      </w:r>
      <w:r w:rsidRPr="00FA4E96">
        <w:rPr>
          <w:rFonts w:ascii="Times New Roman" w:eastAsia="Times New Roman" w:hAnsi="Times New Roman" w:cs="Times New Roman"/>
          <w:i/>
          <w:lang w:val="es-MX" w:bidi="es-ES"/>
        </w:rPr>
        <w:t xml:space="preserve">sujeto a que sea </w:t>
      </w:r>
      <w:r w:rsidRPr="000F5D25">
        <w:rPr>
          <w:rFonts w:ascii="Times New Roman" w:hAnsi="Times New Roman" w:cs="Times New Roman"/>
          <w:i/>
          <w:lang w:val="es-MX" w:bidi="es-ES"/>
        </w:rPr>
        <w:t xml:space="preserve">consentida expresamente por Banco </w:t>
      </w:r>
      <w:proofErr w:type="spellStart"/>
      <w:r w:rsidRPr="000F5D25">
        <w:rPr>
          <w:rFonts w:ascii="Times New Roman" w:hAnsi="Times New Roman" w:cs="Times New Roman"/>
          <w:i/>
          <w:lang w:val="es-MX" w:bidi="es-ES"/>
        </w:rPr>
        <w:t>Itaú</w:t>
      </w:r>
      <w:proofErr w:type="spellEnd"/>
      <w:r w:rsidRPr="000F5D25">
        <w:rPr>
          <w:rFonts w:ascii="Times New Roman" w:hAnsi="Times New Roman" w:cs="Times New Roman"/>
          <w:i/>
          <w:lang w:val="es-MX" w:bidi="es-ES"/>
        </w:rPr>
        <w:t xml:space="preserve">, </w:t>
      </w:r>
      <w:r w:rsidRPr="000F5D25">
        <w:rPr>
          <w:rFonts w:ascii="Times New Roman" w:eastAsia="Times New Roman" w:hAnsi="Times New Roman" w:cs="Times New Roman"/>
          <w:i/>
          <w:lang w:val="es-MX" w:bidi="es-ES"/>
        </w:rPr>
        <w:t xml:space="preserve">de una hipoteca en primer grado de privilegio sobre (i) el inmueble registrado como Circunscripción VI, Sección E, Fracción VI, Parcela 1 Partida 115.015; y (ii) el inmueble registrado como Circunscripción VI, Sección E, Fracción VI, Parcela 1G Partida 55.490; ambos sitos en la localidad de Hudson, Municipio de Berazategui, Provincia de Buenos Aires, de propiedad de La </w:t>
      </w:r>
      <w:proofErr w:type="spellStart"/>
      <w:r w:rsidRPr="000F5D25">
        <w:rPr>
          <w:rFonts w:ascii="Times New Roman" w:eastAsia="Times New Roman" w:hAnsi="Times New Roman" w:cs="Times New Roman"/>
          <w:i/>
          <w:lang w:val="es-MX" w:bidi="es-ES"/>
        </w:rPr>
        <w:t>Maltería</w:t>
      </w:r>
      <w:proofErr w:type="spellEnd"/>
      <w:r w:rsidRPr="000F5D25">
        <w:rPr>
          <w:rFonts w:ascii="Times New Roman" w:eastAsia="Times New Roman" w:hAnsi="Times New Roman" w:cs="Times New Roman"/>
          <w:i/>
          <w:lang w:val="es-MX" w:bidi="es-ES"/>
        </w:rPr>
        <w:t xml:space="preserve"> S.A. (el “</w:t>
      </w:r>
      <w:r w:rsidRPr="000F5D25">
        <w:rPr>
          <w:rFonts w:ascii="Times New Roman" w:eastAsia="Times New Roman" w:hAnsi="Times New Roman" w:cs="Times New Roman"/>
          <w:i/>
          <w:u w:val="single"/>
          <w:lang w:val="es-MX" w:bidi="es-ES"/>
        </w:rPr>
        <w:t>Inmueble Hudson</w:t>
      </w:r>
      <w:r w:rsidRPr="000F5D25">
        <w:rPr>
          <w:rFonts w:ascii="Times New Roman" w:eastAsia="Times New Roman" w:hAnsi="Times New Roman" w:cs="Times New Roman"/>
          <w:i/>
          <w:lang w:val="es-MX" w:bidi="es-ES"/>
        </w:rPr>
        <w:t>” y la hipoteca que se constituya en dicho inmueble, la “</w:t>
      </w:r>
      <w:r w:rsidRPr="000F5D25">
        <w:rPr>
          <w:rFonts w:ascii="Times New Roman" w:eastAsia="Times New Roman" w:hAnsi="Times New Roman" w:cs="Times New Roman"/>
          <w:i/>
          <w:u w:val="single"/>
          <w:lang w:val="es-MX" w:bidi="es-ES"/>
        </w:rPr>
        <w:t>Hipoteca Hudson</w:t>
      </w:r>
      <w:r w:rsidRPr="000F5D25">
        <w:rPr>
          <w:rFonts w:ascii="Times New Roman" w:eastAsia="Times New Roman" w:hAnsi="Times New Roman" w:cs="Times New Roman"/>
          <w:i/>
          <w:lang w:val="es-MX" w:bidi="es-ES"/>
        </w:rPr>
        <w:t>”).</w:t>
      </w:r>
      <w:r>
        <w:rPr>
          <w:rFonts w:ascii="Times New Roman" w:eastAsia="Times New Roman" w:hAnsi="Times New Roman" w:cs="Times New Roman"/>
          <w:i/>
          <w:lang w:val="es-MX" w:bidi="es-ES"/>
        </w:rPr>
        <w:t xml:space="preserve"> </w:t>
      </w:r>
    </w:p>
    <w:p w14:paraId="67EAE8CF" w14:textId="77777777" w:rsidR="005E0114"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b/>
          <w:lang w:bidi="es-ES"/>
        </w:rPr>
      </w:pPr>
    </w:p>
    <w:p w14:paraId="39F22910" w14:textId="77777777" w:rsidR="005E0114" w:rsidRPr="009F2B02" w:rsidRDefault="005E0114" w:rsidP="005E0114">
      <w:pPr>
        <w:spacing w:after="0" w:line="240" w:lineRule="auto"/>
        <w:ind w:leftChars="0" w:left="993" w:firstLineChars="0" w:hanging="2"/>
        <w:jc w:val="both"/>
        <w:rPr>
          <w:rFonts w:ascii="Times New Roman" w:eastAsia="Times New Roman" w:hAnsi="Times New Roman" w:cs="Times New Roman"/>
          <w:i/>
          <w:lang w:val="es-AR" w:bidi="es-ES"/>
        </w:rPr>
      </w:pPr>
      <w:r w:rsidRPr="009F2B02">
        <w:rPr>
          <w:rFonts w:ascii="Times New Roman" w:eastAsia="Times New Roman" w:hAnsi="Times New Roman" w:cs="Times New Roman"/>
          <w:i/>
          <w:lang w:bidi="es-ES"/>
        </w:rPr>
        <w:lastRenderedPageBreak/>
        <w:t>El Fideicomiso MPN requi</w:t>
      </w:r>
      <w:r w:rsidRPr="00060CC6">
        <w:rPr>
          <w:rFonts w:ascii="Times New Roman" w:eastAsia="Times New Roman" w:hAnsi="Times New Roman" w:cs="Times New Roman"/>
          <w:i/>
          <w:lang w:bidi="es-ES"/>
        </w:rPr>
        <w:t>rió</w:t>
      </w:r>
      <w:r w:rsidRPr="009F2B02">
        <w:rPr>
          <w:rFonts w:ascii="Times New Roman" w:eastAsia="Times New Roman" w:hAnsi="Times New Roman" w:cs="Times New Roman"/>
          <w:i/>
          <w:lang w:bidi="es-ES"/>
        </w:rPr>
        <w:t xml:space="preserve"> para su constitución, de la dispensa de (i) Banco </w:t>
      </w:r>
      <w:proofErr w:type="spellStart"/>
      <w:r w:rsidRPr="009F2B02">
        <w:rPr>
          <w:rFonts w:ascii="Times New Roman" w:eastAsia="Times New Roman" w:hAnsi="Times New Roman" w:cs="Times New Roman"/>
          <w:i/>
          <w:lang w:bidi="es-ES"/>
        </w:rPr>
        <w:t>Itaú</w:t>
      </w:r>
      <w:proofErr w:type="spellEnd"/>
      <w:r w:rsidRPr="009F2B02">
        <w:rPr>
          <w:rFonts w:ascii="Times New Roman" w:eastAsia="Times New Roman" w:hAnsi="Times New Roman" w:cs="Times New Roman"/>
          <w:i/>
          <w:lang w:bidi="es-ES"/>
        </w:rPr>
        <w:t xml:space="preserve"> Argentina S.A. (“</w:t>
      </w:r>
      <w:r w:rsidRPr="009F2B02">
        <w:rPr>
          <w:rFonts w:ascii="Times New Roman" w:eastAsia="Times New Roman" w:hAnsi="Times New Roman" w:cs="Times New Roman"/>
          <w:i/>
          <w:u w:val="single"/>
          <w:lang w:bidi="es-ES"/>
        </w:rPr>
        <w:t xml:space="preserve">Banco </w:t>
      </w:r>
      <w:proofErr w:type="spellStart"/>
      <w:r w:rsidRPr="009F2B02">
        <w:rPr>
          <w:rFonts w:ascii="Times New Roman" w:eastAsia="Times New Roman" w:hAnsi="Times New Roman" w:cs="Times New Roman"/>
          <w:i/>
          <w:u w:val="single"/>
          <w:lang w:bidi="es-ES"/>
        </w:rPr>
        <w:t>Itaú</w:t>
      </w:r>
      <w:proofErr w:type="spellEnd"/>
      <w:r w:rsidRPr="009F2B02">
        <w:rPr>
          <w:rFonts w:ascii="Times New Roman" w:eastAsia="Times New Roman" w:hAnsi="Times New Roman" w:cs="Times New Roman"/>
          <w:i/>
          <w:lang w:bidi="es-ES"/>
        </w:rPr>
        <w:t>”) bajo el contrato de línea</w:t>
      </w:r>
      <w:r>
        <w:rPr>
          <w:rFonts w:ascii="Times New Roman" w:eastAsia="Times New Roman" w:hAnsi="Times New Roman" w:cs="Times New Roman"/>
          <w:i/>
          <w:lang w:bidi="es-ES"/>
        </w:rPr>
        <w:t>s</w:t>
      </w:r>
      <w:r w:rsidRPr="009F2B02">
        <w:rPr>
          <w:rFonts w:ascii="Times New Roman" w:eastAsia="Times New Roman" w:hAnsi="Times New Roman" w:cs="Times New Roman"/>
          <w:i/>
          <w:lang w:bidi="es-ES"/>
        </w:rPr>
        <w:t xml:space="preserve"> de crédito de fecha 10 de diciembre de 2019 (conforme fueran refinanciado mediante la enmienda del 30 de marzo de 2021); y (ii) </w:t>
      </w:r>
      <w:proofErr w:type="spellStart"/>
      <w:r w:rsidRPr="009F2B02">
        <w:rPr>
          <w:rFonts w:ascii="Times New Roman" w:eastAsia="Times New Roman" w:hAnsi="Times New Roman" w:cs="Times New Roman"/>
          <w:i/>
          <w:lang w:bidi="es-ES"/>
        </w:rPr>
        <w:t>Argentum</w:t>
      </w:r>
      <w:proofErr w:type="spellEnd"/>
      <w:r w:rsidRPr="009F2B02">
        <w:rPr>
          <w:rFonts w:ascii="Times New Roman" w:eastAsia="Times New Roman" w:hAnsi="Times New Roman" w:cs="Times New Roman"/>
          <w:i/>
          <w:lang w:bidi="es-ES"/>
        </w:rPr>
        <w:t xml:space="preserve"> </w:t>
      </w:r>
      <w:proofErr w:type="spellStart"/>
      <w:r w:rsidRPr="009F2B02">
        <w:rPr>
          <w:rFonts w:ascii="Times New Roman" w:eastAsia="Times New Roman" w:hAnsi="Times New Roman" w:cs="Times New Roman"/>
          <w:i/>
          <w:lang w:val="es-AR" w:bidi="es-ES"/>
        </w:rPr>
        <w:t>Investments</w:t>
      </w:r>
      <w:proofErr w:type="spellEnd"/>
      <w:r w:rsidRPr="009F2B02">
        <w:rPr>
          <w:rFonts w:ascii="Times New Roman" w:eastAsia="Times New Roman" w:hAnsi="Times New Roman" w:cs="Times New Roman"/>
          <w:i/>
          <w:lang w:val="es-AR" w:bidi="es-ES"/>
        </w:rPr>
        <w:t xml:space="preserve"> V LLC bajo la obligación negociable privada por un monto de US$ 6.000.000, con fecha de vencimiento el día 30 de diciembre de 2022, los que </w:t>
      </w:r>
      <w:r>
        <w:rPr>
          <w:rFonts w:ascii="Times New Roman" w:eastAsia="Times New Roman" w:hAnsi="Times New Roman" w:cs="Times New Roman"/>
          <w:i/>
          <w:lang w:val="es-AR" w:bidi="es-ES"/>
        </w:rPr>
        <w:t xml:space="preserve">fueron </w:t>
      </w:r>
      <w:r w:rsidRPr="009F2B02">
        <w:rPr>
          <w:rFonts w:ascii="Times New Roman" w:eastAsia="Times New Roman" w:hAnsi="Times New Roman" w:cs="Times New Roman"/>
          <w:i/>
          <w:lang w:val="es-AR" w:bidi="es-ES"/>
        </w:rPr>
        <w:t>procurados</w:t>
      </w:r>
      <w:r>
        <w:rPr>
          <w:rFonts w:ascii="Times New Roman" w:eastAsia="Times New Roman" w:hAnsi="Times New Roman" w:cs="Times New Roman"/>
          <w:i/>
          <w:lang w:val="es-AR" w:bidi="es-ES"/>
        </w:rPr>
        <w:t xml:space="preserve"> y obtenidos</w:t>
      </w:r>
      <w:r w:rsidRPr="009F2B02">
        <w:rPr>
          <w:rFonts w:ascii="Times New Roman" w:eastAsia="Times New Roman" w:hAnsi="Times New Roman" w:cs="Times New Roman"/>
          <w:i/>
          <w:lang w:val="es-AR" w:bidi="es-ES"/>
        </w:rPr>
        <w:t xml:space="preserve"> por la Sociedad </w:t>
      </w:r>
      <w:r>
        <w:rPr>
          <w:rFonts w:ascii="Times New Roman" w:eastAsia="Times New Roman" w:hAnsi="Times New Roman" w:cs="Times New Roman"/>
          <w:i/>
          <w:lang w:val="es-AR" w:bidi="es-ES"/>
        </w:rPr>
        <w:t xml:space="preserve">dentro de los </w:t>
      </w:r>
      <w:r w:rsidRPr="009F2B02">
        <w:rPr>
          <w:rFonts w:ascii="Times New Roman" w:eastAsia="Times New Roman" w:hAnsi="Times New Roman" w:cs="Times New Roman"/>
          <w:i/>
          <w:lang w:val="es-AR" w:bidi="es-ES"/>
        </w:rPr>
        <w:t xml:space="preserve">sesenta (60) días hábiles </w:t>
      </w:r>
      <w:r>
        <w:rPr>
          <w:rFonts w:ascii="Times New Roman" w:eastAsia="Times New Roman" w:hAnsi="Times New Roman" w:cs="Times New Roman"/>
          <w:i/>
          <w:lang w:val="es-AR" w:bidi="es-ES"/>
        </w:rPr>
        <w:t>la implementación de la  Tercer Adenda</w:t>
      </w:r>
      <w:r w:rsidRPr="009F2B02">
        <w:rPr>
          <w:rFonts w:ascii="Times New Roman" w:eastAsia="Times New Roman" w:hAnsi="Times New Roman" w:cs="Times New Roman"/>
          <w:i/>
          <w:lang w:val="es-AR" w:bidi="es-ES"/>
        </w:rPr>
        <w:t>.</w:t>
      </w:r>
    </w:p>
    <w:p w14:paraId="1A1E2FD2" w14:textId="77777777" w:rsidR="005E0114" w:rsidRDefault="005E0114" w:rsidP="005E0114">
      <w:pPr>
        <w:pStyle w:val="Prrafodelista"/>
        <w:spacing w:after="0" w:line="240" w:lineRule="auto"/>
        <w:ind w:leftChars="0" w:left="992" w:firstLineChars="0" w:firstLine="0"/>
        <w:contextualSpacing w:val="0"/>
        <w:rPr>
          <w:rFonts w:ascii="Times New Roman" w:eastAsia="Times New Roman" w:hAnsi="Times New Roman" w:cs="Times New Roman"/>
          <w:lang w:bidi="es-ES"/>
        </w:rPr>
      </w:pPr>
    </w:p>
    <w:p w14:paraId="131D3913" w14:textId="77777777" w:rsidR="005E0114" w:rsidRPr="009F2B02" w:rsidRDefault="005E0114" w:rsidP="005E0114">
      <w:pPr>
        <w:pStyle w:val="Prrafodelista"/>
        <w:spacing w:after="0" w:line="240" w:lineRule="auto"/>
        <w:ind w:leftChars="0" w:left="993" w:firstLineChars="0" w:firstLine="0"/>
        <w:jc w:val="both"/>
        <w:rPr>
          <w:rFonts w:ascii="Times New Roman" w:eastAsia="Times New Roman" w:hAnsi="Times New Roman" w:cs="Times New Roman"/>
          <w:b/>
          <w:lang w:val="es-MX" w:bidi="es-ES"/>
        </w:rPr>
      </w:pPr>
      <w:r w:rsidRPr="004D7BB5">
        <w:rPr>
          <w:rFonts w:ascii="Times New Roman" w:eastAsia="Times New Roman" w:hAnsi="Times New Roman" w:cs="Times New Roman"/>
          <w:i/>
          <w:lang w:val="es-AR" w:bidi="es-ES"/>
        </w:rPr>
        <w:t>Adicionalmente, y con respecto al pago mencionado en el punto (i) anterior, la Sociedad de forma simultánea con la constitución de la Hipoteca Hudson</w:t>
      </w:r>
      <w:r w:rsidRPr="004D7BB5">
        <w:rPr>
          <w:rFonts w:ascii="Times New Roman" w:eastAsia="Times New Roman" w:hAnsi="Times New Roman" w:cs="Times New Roman"/>
          <w:i/>
          <w:lang w:bidi="es-ES"/>
        </w:rPr>
        <w:t xml:space="preserve">, constituirá en favor de </w:t>
      </w:r>
      <w:r>
        <w:rPr>
          <w:rFonts w:ascii="Times New Roman" w:eastAsia="Times New Roman" w:hAnsi="Times New Roman" w:cs="Times New Roman"/>
          <w:i/>
          <w:lang w:bidi="es-ES"/>
        </w:rPr>
        <w:t>Banco de Servicios y Transacciones S.A., como agente de la garantía, y en beneficio de</w:t>
      </w:r>
      <w:r w:rsidRPr="004D7BB5">
        <w:rPr>
          <w:rFonts w:ascii="Times New Roman" w:eastAsia="Times New Roman" w:hAnsi="Times New Roman" w:cs="Times New Roman"/>
          <w:i/>
          <w:lang w:bidi="es-ES"/>
        </w:rPr>
        <w:t xml:space="preserve"> los tenedores</w:t>
      </w:r>
      <w:r>
        <w:rPr>
          <w:rFonts w:ascii="Times New Roman" w:eastAsia="Times New Roman" w:hAnsi="Times New Roman" w:cs="Times New Roman"/>
          <w:i/>
          <w:lang w:bidi="es-ES"/>
        </w:rPr>
        <w:t>,</w:t>
      </w:r>
      <w:r w:rsidRPr="004D7BB5">
        <w:rPr>
          <w:rFonts w:ascii="Times New Roman" w:eastAsia="Times New Roman" w:hAnsi="Times New Roman" w:cs="Times New Roman"/>
          <w:i/>
          <w:lang w:bidi="es-ES"/>
        </w:rPr>
        <w:t xml:space="preserve"> una fianza bancaria a primera demanda a ser otorgada por Banco </w:t>
      </w:r>
      <w:proofErr w:type="spellStart"/>
      <w:r w:rsidRPr="004D7BB5">
        <w:rPr>
          <w:rFonts w:ascii="Times New Roman" w:eastAsia="Times New Roman" w:hAnsi="Times New Roman" w:cs="Times New Roman"/>
          <w:i/>
          <w:lang w:bidi="es-ES"/>
        </w:rPr>
        <w:t>Itaú</w:t>
      </w:r>
      <w:proofErr w:type="spellEnd"/>
      <w:r w:rsidRPr="004D7BB5">
        <w:rPr>
          <w:rFonts w:ascii="Times New Roman" w:eastAsia="Times New Roman" w:hAnsi="Times New Roman" w:cs="Times New Roman"/>
          <w:i/>
          <w:lang w:bidi="es-ES"/>
        </w:rPr>
        <w:t xml:space="preserve"> por un importe suficiente para efectuar el pago</w:t>
      </w:r>
      <w:r w:rsidRPr="004D7BB5" w:rsidDel="001B3C03">
        <w:rPr>
          <w:rFonts w:ascii="Times New Roman" w:eastAsia="Times New Roman" w:hAnsi="Times New Roman" w:cs="Times New Roman"/>
          <w:i/>
          <w:lang w:bidi="es-ES"/>
        </w:rPr>
        <w:t xml:space="preserve"> </w:t>
      </w:r>
      <w:r w:rsidRPr="004D7BB5">
        <w:rPr>
          <w:rFonts w:ascii="Times New Roman" w:eastAsia="Times New Roman" w:hAnsi="Times New Roman" w:cs="Times New Roman"/>
          <w:i/>
          <w:lang w:bidi="es-ES"/>
        </w:rPr>
        <w:t>de ese 10,00% del monto de capital pagadero con fecha 11 de agosto de 2022</w:t>
      </w:r>
      <w:r>
        <w:rPr>
          <w:rFonts w:ascii="Times New Roman" w:eastAsia="Times New Roman" w:hAnsi="Times New Roman" w:cs="Times New Roman"/>
          <w:i/>
          <w:lang w:bidi="es-ES"/>
        </w:rPr>
        <w:t xml:space="preserve">, </w:t>
      </w:r>
      <w:r w:rsidRPr="00434311">
        <w:rPr>
          <w:rFonts w:ascii="Times New Roman" w:eastAsia="Times New Roman" w:hAnsi="Times New Roman" w:cs="Times New Roman"/>
          <w:i/>
          <w:lang w:val="es-AR" w:bidi="es-ES"/>
        </w:rPr>
        <w:t>al cual se aplicará una quita del 20,00%</w:t>
      </w:r>
      <w:r w:rsidRPr="004D7BB5">
        <w:rPr>
          <w:rFonts w:ascii="Times New Roman" w:eastAsia="Times New Roman" w:hAnsi="Times New Roman" w:cs="Times New Roman"/>
          <w:i/>
          <w:lang w:bidi="es-ES"/>
        </w:rPr>
        <w:t>. Dich</w:t>
      </w:r>
      <w:r>
        <w:rPr>
          <w:rFonts w:ascii="Times New Roman" w:eastAsia="Times New Roman" w:hAnsi="Times New Roman" w:cs="Times New Roman"/>
          <w:i/>
          <w:lang w:bidi="es-ES"/>
        </w:rPr>
        <w:t>a</w:t>
      </w:r>
      <w:r w:rsidRPr="004D7BB5">
        <w:rPr>
          <w:rFonts w:ascii="Times New Roman" w:eastAsia="Times New Roman" w:hAnsi="Times New Roman" w:cs="Times New Roman"/>
          <w:i/>
          <w:lang w:bidi="es-ES"/>
        </w:rPr>
        <w:t xml:space="preserve"> fianza bancaria a primera demanda a ser otorgada por Banco </w:t>
      </w:r>
      <w:proofErr w:type="spellStart"/>
      <w:r w:rsidRPr="004D7BB5">
        <w:rPr>
          <w:rFonts w:ascii="Times New Roman" w:eastAsia="Times New Roman" w:hAnsi="Times New Roman" w:cs="Times New Roman"/>
          <w:i/>
          <w:lang w:bidi="es-ES"/>
        </w:rPr>
        <w:t>Itáu</w:t>
      </w:r>
      <w:proofErr w:type="spellEnd"/>
      <w:r w:rsidRPr="004D7BB5">
        <w:rPr>
          <w:rFonts w:ascii="Times New Roman" w:eastAsia="Times New Roman" w:hAnsi="Times New Roman" w:cs="Times New Roman"/>
          <w:i/>
          <w:lang w:bidi="es-ES"/>
        </w:rPr>
        <w:t>,</w:t>
      </w:r>
      <w:r>
        <w:rPr>
          <w:rFonts w:ascii="Times New Roman" w:eastAsia="Times New Roman" w:hAnsi="Times New Roman" w:cs="Times New Roman"/>
          <w:i/>
          <w:lang w:bidi="es-ES"/>
        </w:rPr>
        <w:t xml:space="preserve"> en favor de Banco de Servicios y Transacciones S.A., como agente de la garantía, y en beneficio de los tenedores,</w:t>
      </w:r>
      <w:r w:rsidRPr="004D7BB5">
        <w:rPr>
          <w:rFonts w:ascii="Times New Roman" w:eastAsia="Times New Roman" w:hAnsi="Times New Roman" w:cs="Times New Roman"/>
          <w:i/>
          <w:lang w:bidi="es-ES"/>
        </w:rPr>
        <w:t xml:space="preserve"> estará constituida o pactada para ser pagada dentro de la República Argentina en Pesos, considerándose importe suficiente</w:t>
      </w:r>
      <w:r>
        <w:rPr>
          <w:rFonts w:ascii="Times New Roman" w:eastAsia="Times New Roman" w:hAnsi="Times New Roman" w:cs="Times New Roman"/>
          <w:i/>
          <w:lang w:bidi="es-ES"/>
        </w:rPr>
        <w:t xml:space="preserve"> para dicha fianza</w:t>
      </w:r>
      <w:r w:rsidRPr="004D7BB5">
        <w:rPr>
          <w:rFonts w:ascii="Times New Roman" w:eastAsia="Times New Roman" w:hAnsi="Times New Roman" w:cs="Times New Roman"/>
          <w:i/>
          <w:lang w:bidi="es-ES"/>
        </w:rPr>
        <w:t xml:space="preserve">, al </w:t>
      </w:r>
      <w:r>
        <w:rPr>
          <w:rFonts w:ascii="Times New Roman" w:eastAsia="Times New Roman" w:hAnsi="Times New Roman" w:cs="Times New Roman"/>
          <w:i/>
          <w:lang w:bidi="es-ES"/>
        </w:rPr>
        <w:t xml:space="preserve">equivalente en pesos del </w:t>
      </w:r>
      <w:r w:rsidRPr="004D7BB5">
        <w:rPr>
          <w:rFonts w:ascii="Times New Roman" w:eastAsia="Times New Roman" w:hAnsi="Times New Roman" w:cs="Times New Roman"/>
          <w:i/>
          <w:lang w:bidi="es-ES"/>
        </w:rPr>
        <w:t>monto nominal adeudado</w:t>
      </w:r>
      <w:r>
        <w:rPr>
          <w:rFonts w:ascii="Times New Roman" w:eastAsia="Times New Roman" w:hAnsi="Times New Roman" w:cs="Times New Roman"/>
          <w:i/>
          <w:lang w:bidi="es-ES"/>
        </w:rPr>
        <w:t xml:space="preserve"> (calculado al tipo de cambio de referencia </w:t>
      </w:r>
      <w:r w:rsidRPr="001A0D90">
        <w:rPr>
          <w:rFonts w:ascii="Times New Roman" w:eastAsia="Times New Roman" w:hAnsi="Times New Roman" w:cs="Times New Roman"/>
          <w:i/>
          <w:lang w:bidi="es-ES"/>
        </w:rPr>
        <w:t>informado por el Banco Central en virtud de la Comunicación “A” 3500 (o la que en el futuro la reemplace)</w:t>
      </w:r>
      <w:r>
        <w:rPr>
          <w:rFonts w:ascii="Times New Roman" w:eastAsia="Times New Roman" w:hAnsi="Times New Roman" w:cs="Times New Roman"/>
          <w:i/>
          <w:lang w:bidi="es-ES"/>
        </w:rPr>
        <w:t>, correspondiente al Día Hábil inmediatamente anterior al otorgamiento de la fianza bancaria)</w:t>
      </w:r>
      <w:r w:rsidRPr="004D7BB5">
        <w:rPr>
          <w:rFonts w:ascii="Times New Roman" w:eastAsia="Times New Roman" w:hAnsi="Times New Roman" w:cs="Times New Roman"/>
          <w:i/>
          <w:lang w:bidi="es-ES"/>
        </w:rPr>
        <w:t xml:space="preserve"> multiplicado por un coeficiente de 1,30</w:t>
      </w:r>
      <w:r>
        <w:rPr>
          <w:rFonts w:ascii="Times New Roman" w:eastAsia="Times New Roman" w:hAnsi="Times New Roman" w:cs="Times New Roman"/>
          <w:i/>
          <w:lang w:bidi="es-ES"/>
        </w:rPr>
        <w:t xml:space="preserve"> (el “</w:t>
      </w:r>
      <w:r>
        <w:rPr>
          <w:rFonts w:ascii="Times New Roman" w:eastAsia="Times New Roman" w:hAnsi="Times New Roman" w:cs="Times New Roman"/>
          <w:i/>
          <w:u w:val="single"/>
          <w:lang w:bidi="es-ES"/>
        </w:rPr>
        <w:t xml:space="preserve">Monto Máximo </w:t>
      </w:r>
      <w:r w:rsidRPr="008B22AA">
        <w:rPr>
          <w:rFonts w:ascii="Times New Roman" w:eastAsia="Times New Roman" w:hAnsi="Times New Roman" w:cs="Times New Roman"/>
          <w:i/>
          <w:u w:val="single"/>
          <w:lang w:bidi="es-ES"/>
        </w:rPr>
        <w:t>Afianzado</w:t>
      </w:r>
      <w:r>
        <w:rPr>
          <w:rFonts w:ascii="Times New Roman" w:eastAsia="Times New Roman" w:hAnsi="Times New Roman" w:cs="Times New Roman"/>
          <w:i/>
          <w:lang w:bidi="es-ES"/>
        </w:rPr>
        <w:t xml:space="preserve">”, y la fianza bancaria, </w:t>
      </w:r>
      <w:r w:rsidRPr="00E84FD6">
        <w:rPr>
          <w:rFonts w:ascii="Times New Roman" w:eastAsia="Times New Roman" w:hAnsi="Times New Roman" w:cs="Times New Roman"/>
          <w:i/>
          <w:lang w:bidi="es-ES"/>
        </w:rPr>
        <w:t>la</w:t>
      </w:r>
      <w:r>
        <w:rPr>
          <w:rFonts w:ascii="Times New Roman" w:eastAsia="Times New Roman" w:hAnsi="Times New Roman" w:cs="Times New Roman"/>
          <w:i/>
          <w:lang w:bidi="es-ES"/>
        </w:rPr>
        <w:t xml:space="preserve"> “</w:t>
      </w:r>
      <w:r w:rsidRPr="007B409B">
        <w:rPr>
          <w:rFonts w:ascii="Times New Roman" w:eastAsia="Times New Roman" w:hAnsi="Times New Roman" w:cs="Times New Roman"/>
          <w:i/>
          <w:u w:val="single"/>
          <w:lang w:bidi="es-ES"/>
        </w:rPr>
        <w:t>Garantía del Pago de Capital de Agosto 2022</w:t>
      </w:r>
      <w:r>
        <w:rPr>
          <w:rFonts w:ascii="Times New Roman" w:eastAsia="Times New Roman" w:hAnsi="Times New Roman" w:cs="Times New Roman"/>
          <w:i/>
          <w:lang w:bidi="es-ES"/>
        </w:rPr>
        <w:t>”), q</w:t>
      </w:r>
      <w:proofErr w:type="spellStart"/>
      <w:r>
        <w:rPr>
          <w:rFonts w:ascii="Times New Roman" w:hAnsi="Times New Roman" w:cs="Times New Roman"/>
          <w:i/>
          <w:lang w:val="es-MX" w:bidi="es-ES"/>
        </w:rPr>
        <w:t>uedando</w:t>
      </w:r>
      <w:proofErr w:type="spellEnd"/>
      <w:r>
        <w:rPr>
          <w:rFonts w:ascii="Times New Roman" w:hAnsi="Times New Roman" w:cs="Times New Roman"/>
          <w:i/>
          <w:lang w:val="es-MX" w:bidi="es-ES"/>
        </w:rPr>
        <w:t xml:space="preserve"> expresamente establecido </w:t>
      </w:r>
      <w:r>
        <w:rPr>
          <w:rFonts w:ascii="Times New Roman" w:eastAsia="Times New Roman" w:hAnsi="Times New Roman" w:cs="Times New Roman"/>
          <w:i/>
          <w:lang w:val="es-AR" w:bidi="es-ES"/>
        </w:rPr>
        <w:t>que la quita del 20%</w:t>
      </w:r>
      <w:r>
        <w:rPr>
          <w:rFonts w:ascii="Times New Roman" w:hAnsi="Times New Roman" w:cs="Times New Roman"/>
          <w:i/>
          <w:lang w:bidi="es-ES"/>
        </w:rPr>
        <w:t xml:space="preserve"> acordada solo será de aplicación en la medida en que, en dicha fecha, la Sociedad cumpla de forma completa y de manera íntegra y acabada </w:t>
      </w:r>
      <w:r w:rsidRPr="00F367DA">
        <w:rPr>
          <w:rFonts w:ascii="Times New Roman" w:hAnsi="Times New Roman" w:cs="Times New Roman"/>
          <w:i/>
          <w:lang w:bidi="es-ES"/>
        </w:rPr>
        <w:t xml:space="preserve">(incluyendo la moneda originalmente pactada) </w:t>
      </w:r>
      <w:r>
        <w:rPr>
          <w:rFonts w:ascii="Times New Roman" w:hAnsi="Times New Roman" w:cs="Times New Roman"/>
          <w:i/>
          <w:lang w:bidi="es-ES"/>
        </w:rPr>
        <w:t xml:space="preserve">con su obligación de pago. </w:t>
      </w:r>
      <w:r w:rsidRPr="007F65F5">
        <w:rPr>
          <w:rFonts w:ascii="Times New Roman" w:hAnsi="Times New Roman" w:cs="Times New Roman"/>
          <w:i/>
          <w:lang w:bidi="es-ES"/>
        </w:rPr>
        <w:t xml:space="preserve">Queda expresamente </w:t>
      </w:r>
      <w:r>
        <w:rPr>
          <w:rFonts w:ascii="Times New Roman" w:hAnsi="Times New Roman" w:cs="Times New Roman"/>
          <w:i/>
          <w:lang w:bidi="es-ES"/>
        </w:rPr>
        <w:t>e</w:t>
      </w:r>
      <w:r w:rsidRPr="00864135">
        <w:rPr>
          <w:rFonts w:ascii="Times New Roman" w:hAnsi="Times New Roman" w:cs="Times New Roman"/>
          <w:i/>
          <w:lang w:bidi="es-ES"/>
        </w:rPr>
        <w:t>ntendido</w:t>
      </w:r>
      <w:r>
        <w:rPr>
          <w:rFonts w:ascii="Times New Roman" w:hAnsi="Times New Roman" w:cs="Times New Roman"/>
          <w:i/>
          <w:lang w:bidi="es-ES"/>
        </w:rPr>
        <w:t xml:space="preserve"> también</w:t>
      </w:r>
      <w:r w:rsidRPr="00864135">
        <w:rPr>
          <w:rFonts w:ascii="Times New Roman" w:hAnsi="Times New Roman" w:cs="Times New Roman"/>
          <w:i/>
          <w:lang w:bidi="es-ES"/>
        </w:rPr>
        <w:t xml:space="preserve"> que la existencia </w:t>
      </w:r>
      <w:r>
        <w:rPr>
          <w:rFonts w:ascii="Times New Roman" w:hAnsi="Times New Roman" w:cs="Times New Roman"/>
          <w:i/>
          <w:lang w:bidi="es-ES"/>
        </w:rPr>
        <w:t xml:space="preserve">de </w:t>
      </w:r>
      <w:r>
        <w:rPr>
          <w:rFonts w:ascii="Times New Roman" w:eastAsia="Times New Roman" w:hAnsi="Times New Roman" w:cs="Times New Roman"/>
          <w:i/>
          <w:lang w:bidi="es-ES"/>
        </w:rPr>
        <w:t xml:space="preserve">la Garantía del Pago de Capital de Agosto 2022 </w:t>
      </w:r>
      <w:r w:rsidRPr="00864135">
        <w:rPr>
          <w:rFonts w:ascii="Times New Roman" w:hAnsi="Times New Roman" w:cs="Times New Roman"/>
          <w:i/>
          <w:lang w:bidi="es-ES"/>
        </w:rPr>
        <w:t xml:space="preserve">no cancela la obligación de la Sociedad de cancelar </w:t>
      </w:r>
      <w:r>
        <w:rPr>
          <w:rFonts w:ascii="Times New Roman" w:hAnsi="Times New Roman" w:cs="Times New Roman"/>
          <w:i/>
          <w:lang w:bidi="es-ES"/>
        </w:rPr>
        <w:t xml:space="preserve">las </w:t>
      </w:r>
      <w:r w:rsidRPr="00864135">
        <w:rPr>
          <w:rFonts w:ascii="Times New Roman" w:hAnsi="Times New Roman" w:cs="Times New Roman"/>
          <w:i/>
          <w:lang w:bidi="es-ES"/>
        </w:rPr>
        <w:t>Obligaciones Negociables en la moneda pactada</w:t>
      </w:r>
      <w:r>
        <w:rPr>
          <w:rFonts w:ascii="Times New Roman" w:hAnsi="Times New Roman" w:cs="Times New Roman"/>
          <w:i/>
          <w:lang w:bidi="es-ES"/>
        </w:rPr>
        <w:t xml:space="preserve">, </w:t>
      </w:r>
      <w:r w:rsidRPr="00864135">
        <w:rPr>
          <w:rFonts w:ascii="Times New Roman" w:hAnsi="Times New Roman" w:cs="Times New Roman"/>
          <w:i/>
          <w:lang w:bidi="es-ES"/>
        </w:rPr>
        <w:t xml:space="preserve">ni implicará ningún tipo de extinción, novación o modificación de </w:t>
      </w:r>
      <w:r>
        <w:rPr>
          <w:rFonts w:ascii="Times New Roman" w:hAnsi="Times New Roman" w:cs="Times New Roman"/>
          <w:i/>
          <w:lang w:bidi="es-ES"/>
        </w:rPr>
        <w:t>dicha</w:t>
      </w:r>
      <w:r w:rsidRPr="00864135">
        <w:rPr>
          <w:rFonts w:ascii="Times New Roman" w:hAnsi="Times New Roman" w:cs="Times New Roman"/>
          <w:i/>
          <w:lang w:bidi="es-ES"/>
        </w:rPr>
        <w:t xml:space="preserve"> obligación, si por operación de fluctuaciones cambiarias o cualquier otro motivo, el monto </w:t>
      </w:r>
      <w:r>
        <w:rPr>
          <w:rFonts w:ascii="Times New Roman" w:hAnsi="Times New Roman" w:cs="Times New Roman"/>
          <w:i/>
          <w:lang w:bidi="es-ES"/>
        </w:rPr>
        <w:t>a</w:t>
      </w:r>
      <w:r w:rsidRPr="00864135">
        <w:rPr>
          <w:rFonts w:ascii="Times New Roman" w:hAnsi="Times New Roman" w:cs="Times New Roman"/>
          <w:i/>
          <w:lang w:bidi="es-ES"/>
        </w:rPr>
        <w:t xml:space="preserve">fianzado no fuere suficiente para cancelar completamente </w:t>
      </w:r>
      <w:r>
        <w:rPr>
          <w:rFonts w:ascii="Times New Roman" w:hAnsi="Times New Roman" w:cs="Times New Roman"/>
          <w:i/>
          <w:lang w:bidi="es-ES"/>
        </w:rPr>
        <w:t>dichas</w:t>
      </w:r>
      <w:r w:rsidRPr="00864135">
        <w:rPr>
          <w:rFonts w:ascii="Times New Roman" w:hAnsi="Times New Roman" w:cs="Times New Roman"/>
          <w:i/>
          <w:lang w:bidi="es-ES"/>
        </w:rPr>
        <w:t xml:space="preserve"> obligaciones en la moneda pactada</w:t>
      </w:r>
      <w:r>
        <w:rPr>
          <w:rFonts w:ascii="Times New Roman" w:hAnsi="Times New Roman" w:cs="Times New Roman"/>
          <w:i/>
          <w:lang w:bidi="es-ES"/>
        </w:rPr>
        <w:t xml:space="preserve">; </w:t>
      </w:r>
      <w:r w:rsidRPr="00864135">
        <w:rPr>
          <w:rFonts w:ascii="Times New Roman" w:hAnsi="Times New Roman" w:cs="Times New Roman"/>
          <w:i/>
          <w:lang w:bidi="es-ES"/>
        </w:rPr>
        <w:t>(ii) no limitará de manera alguna la plena responsabilidad de la Sociedad para con los Tenedores</w:t>
      </w:r>
      <w:r>
        <w:rPr>
          <w:rFonts w:ascii="Times New Roman" w:hAnsi="Times New Roman" w:cs="Times New Roman"/>
          <w:i/>
          <w:lang w:bidi="es-ES"/>
        </w:rPr>
        <w:t>,</w:t>
      </w:r>
      <w:r w:rsidRPr="00864135">
        <w:rPr>
          <w:rFonts w:ascii="Times New Roman" w:hAnsi="Times New Roman" w:cs="Times New Roman"/>
          <w:i/>
          <w:lang w:bidi="es-ES"/>
        </w:rPr>
        <w:t xml:space="preserve"> y (iii) no implicará la extinción de las Obligaciones Negociables. Por el contrario, todas y cada una de las </w:t>
      </w:r>
      <w:r>
        <w:rPr>
          <w:rFonts w:ascii="Times New Roman" w:hAnsi="Times New Roman" w:cs="Times New Roman"/>
          <w:i/>
          <w:lang w:bidi="es-ES"/>
        </w:rPr>
        <w:t>o</w:t>
      </w:r>
      <w:r w:rsidRPr="00864135">
        <w:rPr>
          <w:rFonts w:ascii="Times New Roman" w:hAnsi="Times New Roman" w:cs="Times New Roman"/>
          <w:i/>
          <w:lang w:bidi="es-ES"/>
        </w:rPr>
        <w:t xml:space="preserve">bligaciones </w:t>
      </w:r>
      <w:r>
        <w:rPr>
          <w:rFonts w:ascii="Times New Roman" w:hAnsi="Times New Roman" w:cs="Times New Roman"/>
          <w:i/>
          <w:lang w:bidi="es-ES"/>
        </w:rPr>
        <w:t>de pago de la Sociedad bajo las Obligaciones Negociables</w:t>
      </w:r>
      <w:r w:rsidRPr="00864135">
        <w:rPr>
          <w:rFonts w:ascii="Times New Roman" w:hAnsi="Times New Roman" w:cs="Times New Roman"/>
          <w:i/>
          <w:lang w:bidi="es-ES"/>
        </w:rPr>
        <w:t xml:space="preserve"> subsistirán con plena vigencia y validez hasta el momento de su efectivo pago completo según sus términos, teniendo </w:t>
      </w:r>
      <w:r>
        <w:rPr>
          <w:rFonts w:ascii="Times New Roman" w:eastAsia="Times New Roman" w:hAnsi="Times New Roman" w:cs="Times New Roman"/>
          <w:i/>
          <w:lang w:bidi="es-ES"/>
        </w:rPr>
        <w:t xml:space="preserve">la Garantía del Pago de Capital de Agosto 2022 </w:t>
      </w:r>
      <w:r>
        <w:rPr>
          <w:rFonts w:ascii="Times New Roman" w:hAnsi="Times New Roman" w:cs="Times New Roman"/>
          <w:i/>
          <w:lang w:bidi="es-ES"/>
        </w:rPr>
        <w:t>c</w:t>
      </w:r>
      <w:r w:rsidRPr="00864135">
        <w:rPr>
          <w:rFonts w:ascii="Times New Roman" w:hAnsi="Times New Roman" w:cs="Times New Roman"/>
          <w:i/>
          <w:lang w:bidi="es-ES"/>
        </w:rPr>
        <w:t>arácter de mero accesorio respecto de las mismas</w:t>
      </w:r>
      <w:r>
        <w:rPr>
          <w:rFonts w:ascii="Times New Roman" w:hAnsi="Times New Roman" w:cs="Times New Roman"/>
          <w:i/>
          <w:lang w:bidi="es-ES"/>
        </w:rPr>
        <w:t xml:space="preserve">. </w:t>
      </w:r>
      <w:r>
        <w:rPr>
          <w:rFonts w:ascii="Times New Roman" w:eastAsia="Times New Roman" w:hAnsi="Times New Roman" w:cs="Times New Roman"/>
          <w:i/>
          <w:lang w:bidi="es-ES"/>
        </w:rPr>
        <w:t>Banco de Servicios y Transacciones S.A., como agente de la garantía</w:t>
      </w:r>
      <w:r w:rsidRPr="00E84FD6">
        <w:rPr>
          <w:rFonts w:ascii="Times New Roman" w:hAnsi="Times New Roman" w:cs="Times New Roman"/>
          <w:i/>
          <w:lang w:bidi="es-ES"/>
        </w:rPr>
        <w:t>,</w:t>
      </w:r>
      <w:r>
        <w:rPr>
          <w:rFonts w:ascii="Times New Roman" w:hAnsi="Times New Roman" w:cs="Times New Roman"/>
          <w:i/>
          <w:lang w:bidi="es-ES"/>
        </w:rPr>
        <w:t xml:space="preserve"> será el responsable exclusivo de efectuar cualquier reclamo o requerimiento de pago en beneficio de los tenedores bajo la Garantía del Pago de Capital de Agosto de 2022. En dicho caso, Banco </w:t>
      </w:r>
      <w:proofErr w:type="spellStart"/>
      <w:r>
        <w:rPr>
          <w:rFonts w:ascii="Times New Roman" w:hAnsi="Times New Roman" w:cs="Times New Roman"/>
          <w:i/>
          <w:lang w:bidi="es-ES"/>
        </w:rPr>
        <w:t>Itaú</w:t>
      </w:r>
      <w:proofErr w:type="spellEnd"/>
      <w:r>
        <w:rPr>
          <w:rFonts w:ascii="Times New Roman" w:hAnsi="Times New Roman" w:cs="Times New Roman"/>
          <w:i/>
          <w:lang w:bidi="es-ES"/>
        </w:rPr>
        <w:t xml:space="preserve"> quedará eximido de todo tipo de responsabilidad respecto al cumplimiento de las obligaciones garantizadas en el marco de la Garantía del Pago de Capital de Agosto de 2022 u</w:t>
      </w:r>
      <w:r w:rsidRPr="00E84FD6">
        <w:rPr>
          <w:rFonts w:ascii="Times New Roman" w:hAnsi="Times New Roman" w:cs="Times New Roman"/>
          <w:i/>
          <w:lang w:bidi="es-ES"/>
        </w:rPr>
        <w:t xml:space="preserve">na vez depositadas las sumas </w:t>
      </w:r>
      <w:r>
        <w:rPr>
          <w:rFonts w:ascii="Times New Roman" w:hAnsi="Times New Roman" w:cs="Times New Roman"/>
          <w:i/>
          <w:lang w:bidi="es-ES"/>
        </w:rPr>
        <w:t xml:space="preserve">en pesos </w:t>
      </w:r>
      <w:r w:rsidRPr="00E84FD6">
        <w:rPr>
          <w:rFonts w:ascii="Times New Roman" w:hAnsi="Times New Roman" w:cs="Times New Roman"/>
          <w:i/>
          <w:lang w:bidi="es-ES"/>
        </w:rPr>
        <w:t xml:space="preserve">solicitadas por </w:t>
      </w:r>
      <w:r>
        <w:rPr>
          <w:rFonts w:ascii="Times New Roman" w:hAnsi="Times New Roman" w:cs="Times New Roman"/>
          <w:i/>
          <w:lang w:bidi="es-ES"/>
        </w:rPr>
        <w:t>Banco de Servicios y Transacciones S.A., en su carácter de</w:t>
      </w:r>
      <w:r w:rsidRPr="00E84FD6">
        <w:rPr>
          <w:rFonts w:ascii="Times New Roman" w:hAnsi="Times New Roman" w:cs="Times New Roman"/>
          <w:i/>
          <w:lang w:bidi="es-ES"/>
        </w:rPr>
        <w:t xml:space="preserve"> </w:t>
      </w:r>
      <w:r>
        <w:rPr>
          <w:rFonts w:ascii="Times New Roman" w:hAnsi="Times New Roman" w:cs="Times New Roman"/>
          <w:i/>
          <w:lang w:bidi="es-ES"/>
        </w:rPr>
        <w:t>a</w:t>
      </w:r>
      <w:r w:rsidRPr="00E84FD6">
        <w:rPr>
          <w:rFonts w:ascii="Times New Roman" w:hAnsi="Times New Roman" w:cs="Times New Roman"/>
          <w:i/>
          <w:lang w:bidi="es-ES"/>
        </w:rPr>
        <w:t xml:space="preserve">gente de la </w:t>
      </w:r>
      <w:r>
        <w:rPr>
          <w:rFonts w:ascii="Times New Roman" w:hAnsi="Times New Roman" w:cs="Times New Roman"/>
          <w:i/>
          <w:lang w:bidi="es-ES"/>
        </w:rPr>
        <w:t>g</w:t>
      </w:r>
      <w:r w:rsidRPr="00E84FD6">
        <w:rPr>
          <w:rFonts w:ascii="Times New Roman" w:hAnsi="Times New Roman" w:cs="Times New Roman"/>
          <w:i/>
          <w:lang w:bidi="es-ES"/>
        </w:rPr>
        <w:t>arantía</w:t>
      </w:r>
      <w:r>
        <w:rPr>
          <w:rFonts w:ascii="Times New Roman" w:hAnsi="Times New Roman" w:cs="Times New Roman"/>
          <w:i/>
          <w:lang w:bidi="es-ES"/>
        </w:rPr>
        <w:t>,</w:t>
      </w:r>
      <w:r w:rsidRPr="00E84FD6">
        <w:rPr>
          <w:rFonts w:ascii="Times New Roman" w:hAnsi="Times New Roman" w:cs="Times New Roman"/>
          <w:i/>
          <w:lang w:bidi="es-ES"/>
        </w:rPr>
        <w:t xml:space="preserve"> en la </w:t>
      </w:r>
      <w:r>
        <w:rPr>
          <w:rFonts w:ascii="Times New Roman" w:hAnsi="Times New Roman" w:cs="Times New Roman"/>
          <w:i/>
          <w:lang w:bidi="es-ES"/>
        </w:rPr>
        <w:t>c</w:t>
      </w:r>
      <w:r w:rsidRPr="00E84FD6">
        <w:rPr>
          <w:rFonts w:ascii="Times New Roman" w:hAnsi="Times New Roman" w:cs="Times New Roman"/>
          <w:i/>
          <w:lang w:bidi="es-ES"/>
        </w:rPr>
        <w:t xml:space="preserve">uenta de </w:t>
      </w:r>
      <w:r>
        <w:rPr>
          <w:rFonts w:ascii="Times New Roman" w:hAnsi="Times New Roman" w:cs="Times New Roman"/>
          <w:i/>
          <w:lang w:bidi="es-ES"/>
        </w:rPr>
        <w:t>pago que éste le indique, por hasta el Monto Máximo Afianzado.</w:t>
      </w:r>
    </w:p>
    <w:p w14:paraId="632340B4" w14:textId="77777777" w:rsidR="005E0114" w:rsidRPr="007F65F5" w:rsidRDefault="005E0114" w:rsidP="005E0114">
      <w:pPr>
        <w:pStyle w:val="Prrafodelista"/>
        <w:spacing w:after="0" w:line="240" w:lineRule="auto"/>
        <w:ind w:leftChars="0" w:left="1285" w:firstLineChars="0" w:firstLine="0"/>
        <w:jc w:val="both"/>
        <w:rPr>
          <w:rFonts w:ascii="Times New Roman" w:eastAsia="Times New Roman" w:hAnsi="Times New Roman" w:cs="Times New Roman"/>
          <w:lang w:val="es-MX" w:bidi="es-ES"/>
        </w:rPr>
      </w:pPr>
    </w:p>
    <w:p w14:paraId="5A761913" w14:textId="77777777" w:rsidR="005E0114" w:rsidRDefault="005E0114" w:rsidP="005E0114">
      <w:pPr>
        <w:pStyle w:val="Prrafodelista"/>
        <w:numPr>
          <w:ilvl w:val="0"/>
          <w:numId w:val="18"/>
        </w:numPr>
        <w:spacing w:after="0" w:line="240" w:lineRule="auto"/>
        <w:ind w:leftChars="0" w:left="992" w:firstLineChars="0" w:hanging="567"/>
        <w:contextualSpacing w:val="0"/>
        <w:jc w:val="both"/>
        <w:rPr>
          <w:rFonts w:ascii="Times New Roman" w:eastAsia="Times New Roman" w:hAnsi="Times New Roman" w:cs="Times New Roman"/>
          <w:lang w:bidi="es-ES"/>
        </w:rPr>
      </w:pPr>
      <w:r>
        <w:rPr>
          <w:rFonts w:ascii="Times New Roman" w:eastAsia="Times New Roman" w:hAnsi="Times New Roman" w:cs="Times New Roman"/>
          <w:lang w:bidi="es-ES"/>
        </w:rPr>
        <w:t>En caso</w:t>
      </w:r>
      <w:r w:rsidRPr="009E711B">
        <w:rPr>
          <w:rFonts w:ascii="Times New Roman" w:eastAsia="Times New Roman" w:hAnsi="Times New Roman" w:cs="Times New Roman"/>
          <w:lang w:bidi="es-ES"/>
        </w:rPr>
        <w:t xml:space="preserve">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a fin de suprimir las referencias a la “</w:t>
      </w:r>
      <w:r w:rsidRPr="00A81B5E">
        <w:rPr>
          <w:rFonts w:ascii="Times New Roman" w:eastAsia="Times New Roman" w:hAnsi="Times New Roman" w:cs="Times New Roman"/>
          <w:i/>
          <w:lang w:val="es-MX" w:bidi="es-ES"/>
        </w:rPr>
        <w:t>liberación de la Prenda</w:t>
      </w:r>
      <w:r>
        <w:rPr>
          <w:rFonts w:ascii="Times New Roman" w:eastAsia="Times New Roman" w:hAnsi="Times New Roman" w:cs="Times New Roman"/>
          <w:lang w:val="es-MX" w:bidi="es-ES"/>
        </w:rPr>
        <w:t>”</w:t>
      </w:r>
      <w:r>
        <w:rPr>
          <w:rFonts w:ascii="Times New Roman" w:eastAsia="Times New Roman" w:hAnsi="Times New Roman" w:cs="Times New Roman"/>
          <w:lang w:bidi="es-ES"/>
        </w:rPr>
        <w:t xml:space="preserve"> del</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apartado</w:t>
      </w:r>
      <w:r w:rsidRPr="004B1607">
        <w:rPr>
          <w:rFonts w:ascii="Times New Roman" w:eastAsia="Times New Roman" w:hAnsi="Times New Roman" w:cs="Times New Roman"/>
          <w:lang w:bidi="es-ES"/>
        </w:rPr>
        <w:t xml:space="preserve"> </w:t>
      </w:r>
      <w:r w:rsidRPr="004B1607">
        <w:rPr>
          <w:rFonts w:ascii="Times New Roman" w:eastAsia="Times New Roman" w:hAnsi="Times New Roman" w:cs="Times New Roman"/>
          <w:i/>
          <w:lang w:bidi="es-ES"/>
        </w:rPr>
        <w:t>“</w:t>
      </w:r>
      <w:r>
        <w:rPr>
          <w:rFonts w:ascii="Times New Roman" w:eastAsia="Times New Roman" w:hAnsi="Times New Roman" w:cs="Times New Roman"/>
          <w:i/>
          <w:lang w:bidi="es-ES"/>
        </w:rPr>
        <w:t xml:space="preserve">Términos y Condiciones de las Obligaciones Negociables -- Términos y Condiciones Particulares de las Obligaciones Negociables Clase XVI -- Amortización en Caso de Acuerdo </w:t>
      </w:r>
      <w:r w:rsidRPr="004B1607">
        <w:rPr>
          <w:rFonts w:ascii="Times New Roman" w:eastAsia="Times New Roman" w:hAnsi="Times New Roman" w:cs="Times New Roman"/>
          <w:i/>
          <w:lang w:bidi="es-ES"/>
        </w:rPr>
        <w:t xml:space="preserve">con </w:t>
      </w:r>
      <w:proofErr w:type="spellStart"/>
      <w:r w:rsidRPr="004B1607">
        <w:rPr>
          <w:rFonts w:ascii="Times New Roman" w:eastAsia="Times New Roman" w:hAnsi="Times New Roman" w:cs="Times New Roman"/>
          <w:i/>
          <w:lang w:bidi="es-ES"/>
        </w:rPr>
        <w:t>Itaú</w:t>
      </w:r>
      <w:proofErr w:type="spellEnd"/>
      <w:r w:rsidRPr="004B1607">
        <w:rPr>
          <w:rFonts w:ascii="Times New Roman" w:eastAsia="Times New Roman" w:hAnsi="Times New Roman" w:cs="Times New Roman"/>
          <w:i/>
          <w:lang w:bidi="es-ES"/>
        </w:rPr>
        <w:t xml:space="preserve"> sobre la Participación en Catalinas</w:t>
      </w:r>
      <w:r>
        <w:rPr>
          <w:rFonts w:ascii="Times New Roman" w:eastAsia="Times New Roman" w:hAnsi="Times New Roman" w:cs="Times New Roman"/>
          <w:i/>
          <w:lang w:bidi="es-ES"/>
        </w:rPr>
        <w:t xml:space="preserve"> </w:t>
      </w:r>
      <w:r w:rsidRPr="004B1607">
        <w:rPr>
          <w:rFonts w:ascii="Times New Roman" w:eastAsia="Times New Roman" w:hAnsi="Times New Roman" w:cs="Times New Roman"/>
          <w:lang w:bidi="es-ES"/>
        </w:rPr>
        <w:t>” de</w:t>
      </w:r>
      <w:r>
        <w:rPr>
          <w:rFonts w:ascii="Times New Roman" w:eastAsia="Times New Roman" w:hAnsi="Times New Roman" w:cs="Times New Roman"/>
          <w:lang w:bidi="es-ES"/>
        </w:rPr>
        <w:t xml:space="preserve"> la</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Tercer Adenda,</w:t>
      </w:r>
      <w:r w:rsidRPr="005407CD">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 xml:space="preserve">se reemplazará íntegramente </w:t>
      </w:r>
      <w:r>
        <w:rPr>
          <w:rFonts w:ascii="Times New Roman" w:eastAsia="Times New Roman" w:hAnsi="Times New Roman" w:cs="Times New Roman"/>
          <w:lang w:bidi="es-ES"/>
        </w:rPr>
        <w:t>el párrafo donde se encontraban dichas referencias de modo tal que quede redactado de la siguiente manera:</w:t>
      </w:r>
    </w:p>
    <w:p w14:paraId="7FACC604" w14:textId="77777777" w:rsidR="005E0114" w:rsidRDefault="005E0114" w:rsidP="005E0114">
      <w:pPr>
        <w:pStyle w:val="Prrafodelista"/>
        <w:spacing w:after="0" w:line="240" w:lineRule="auto"/>
        <w:ind w:leftChars="0" w:left="993" w:firstLineChars="0" w:firstLine="0"/>
        <w:jc w:val="both"/>
        <w:rPr>
          <w:rFonts w:ascii="Times New Roman" w:eastAsia="Times New Roman" w:hAnsi="Times New Roman" w:cs="Times New Roman"/>
          <w:sz w:val="18"/>
          <w:szCs w:val="18"/>
          <w:lang w:bidi="es-ES"/>
        </w:rPr>
      </w:pPr>
    </w:p>
    <w:p w14:paraId="223578AC" w14:textId="77777777" w:rsidR="005E0114" w:rsidRPr="00A81B5E" w:rsidRDefault="005E0114" w:rsidP="005E0114">
      <w:pPr>
        <w:pStyle w:val="Prrafodelista"/>
        <w:spacing w:after="0" w:line="240" w:lineRule="auto"/>
        <w:ind w:leftChars="0" w:left="993" w:firstLineChars="0" w:firstLine="0"/>
        <w:jc w:val="both"/>
        <w:rPr>
          <w:rFonts w:ascii="Times New Roman" w:eastAsia="Times New Roman" w:hAnsi="Times New Roman" w:cs="Times New Roman"/>
          <w:sz w:val="18"/>
          <w:szCs w:val="18"/>
          <w:lang w:bidi="es-ES"/>
        </w:rPr>
      </w:pPr>
      <w:r>
        <w:rPr>
          <w:rFonts w:ascii="Times New Roman" w:eastAsia="Times New Roman" w:hAnsi="Times New Roman" w:cs="Times New Roman"/>
          <w:i/>
          <w:lang w:bidi="es-ES"/>
        </w:rPr>
        <w:t>C</w:t>
      </w:r>
      <w:proofErr w:type="spellStart"/>
      <w:r w:rsidRPr="004D7BB5">
        <w:rPr>
          <w:rFonts w:ascii="Times New Roman" w:eastAsia="Times New Roman" w:hAnsi="Times New Roman" w:cs="Times New Roman"/>
          <w:i/>
          <w:lang w:val="es-AR" w:bidi="es-ES"/>
        </w:rPr>
        <w:t>on</w:t>
      </w:r>
      <w:proofErr w:type="spellEnd"/>
      <w:r w:rsidRPr="004D7BB5">
        <w:rPr>
          <w:rFonts w:ascii="Times New Roman" w:eastAsia="Times New Roman" w:hAnsi="Times New Roman" w:cs="Times New Roman"/>
          <w:i/>
          <w:lang w:val="es-AR" w:bidi="es-ES"/>
        </w:rPr>
        <w:t xml:space="preserve"> respecto al pago mencionado en el punto (i) anterior, la Sociedad de forma simultánea con la constitución de la Hipoteca Hudson</w:t>
      </w:r>
      <w:r w:rsidRPr="004D7BB5">
        <w:rPr>
          <w:rFonts w:ascii="Times New Roman" w:eastAsia="Times New Roman" w:hAnsi="Times New Roman" w:cs="Times New Roman"/>
          <w:i/>
          <w:lang w:bidi="es-ES"/>
        </w:rPr>
        <w:t xml:space="preserve">, constituirá en favor de los tenedores y en garantía de ese 10,00% del monto de capital pagadero </w:t>
      </w:r>
      <w:r>
        <w:rPr>
          <w:rFonts w:ascii="Times New Roman" w:eastAsia="Times New Roman" w:hAnsi="Times New Roman" w:cs="Times New Roman"/>
          <w:i/>
          <w:lang w:bidi="es-ES"/>
        </w:rPr>
        <w:t xml:space="preserve">con fecha 11 de agosto de 2022, la Garantía del Pago de Capital de Agosto 2022. </w:t>
      </w:r>
      <w:r w:rsidRPr="007F65F5">
        <w:rPr>
          <w:rFonts w:ascii="Times New Roman" w:hAnsi="Times New Roman" w:cs="Times New Roman"/>
          <w:i/>
          <w:lang w:bidi="es-ES"/>
        </w:rPr>
        <w:t xml:space="preserve">Queda expresamente </w:t>
      </w:r>
      <w:r>
        <w:rPr>
          <w:rFonts w:ascii="Times New Roman" w:hAnsi="Times New Roman" w:cs="Times New Roman"/>
          <w:i/>
          <w:lang w:bidi="es-ES"/>
        </w:rPr>
        <w:t>e</w:t>
      </w:r>
      <w:r w:rsidRPr="00864135">
        <w:rPr>
          <w:rFonts w:ascii="Times New Roman" w:hAnsi="Times New Roman" w:cs="Times New Roman"/>
          <w:i/>
          <w:lang w:bidi="es-ES"/>
        </w:rPr>
        <w:t>ntendido</w:t>
      </w:r>
      <w:r>
        <w:rPr>
          <w:rFonts w:ascii="Times New Roman" w:hAnsi="Times New Roman" w:cs="Times New Roman"/>
          <w:i/>
          <w:lang w:bidi="es-ES"/>
        </w:rPr>
        <w:t xml:space="preserve"> también</w:t>
      </w:r>
      <w:r w:rsidRPr="00864135">
        <w:rPr>
          <w:rFonts w:ascii="Times New Roman" w:hAnsi="Times New Roman" w:cs="Times New Roman"/>
          <w:i/>
          <w:lang w:bidi="es-ES"/>
        </w:rPr>
        <w:t xml:space="preserve"> que la existencia </w:t>
      </w:r>
      <w:r>
        <w:rPr>
          <w:rFonts w:ascii="Times New Roman" w:hAnsi="Times New Roman" w:cs="Times New Roman"/>
          <w:i/>
          <w:lang w:bidi="es-ES"/>
        </w:rPr>
        <w:t xml:space="preserve">de </w:t>
      </w:r>
      <w:r>
        <w:rPr>
          <w:rFonts w:ascii="Times New Roman" w:eastAsia="Times New Roman" w:hAnsi="Times New Roman" w:cs="Times New Roman"/>
          <w:i/>
          <w:lang w:bidi="es-ES"/>
        </w:rPr>
        <w:t xml:space="preserve">la Garantía del Pago de Capital de Agosto 2022 </w:t>
      </w:r>
      <w:r w:rsidRPr="00864135">
        <w:rPr>
          <w:rFonts w:ascii="Times New Roman" w:hAnsi="Times New Roman" w:cs="Times New Roman"/>
          <w:i/>
          <w:lang w:bidi="es-ES"/>
        </w:rPr>
        <w:t xml:space="preserve">no cancela la obligación de la Sociedad de cancelar </w:t>
      </w:r>
      <w:r>
        <w:rPr>
          <w:rFonts w:ascii="Times New Roman" w:hAnsi="Times New Roman" w:cs="Times New Roman"/>
          <w:i/>
          <w:lang w:bidi="es-ES"/>
        </w:rPr>
        <w:t xml:space="preserve">las </w:t>
      </w:r>
      <w:r w:rsidRPr="00864135">
        <w:rPr>
          <w:rFonts w:ascii="Times New Roman" w:hAnsi="Times New Roman" w:cs="Times New Roman"/>
          <w:i/>
          <w:lang w:bidi="es-ES"/>
        </w:rPr>
        <w:t>Obligaciones Negociables en la moneda pactada</w:t>
      </w:r>
      <w:r>
        <w:rPr>
          <w:rFonts w:ascii="Times New Roman" w:hAnsi="Times New Roman" w:cs="Times New Roman"/>
          <w:i/>
          <w:lang w:bidi="es-ES"/>
        </w:rPr>
        <w:t xml:space="preserve">, </w:t>
      </w:r>
      <w:r w:rsidRPr="00864135">
        <w:rPr>
          <w:rFonts w:ascii="Times New Roman" w:hAnsi="Times New Roman" w:cs="Times New Roman"/>
          <w:i/>
          <w:lang w:bidi="es-ES"/>
        </w:rPr>
        <w:t xml:space="preserve">ni implicará ningún tipo de extinción, novación o modificación de </w:t>
      </w:r>
      <w:r>
        <w:rPr>
          <w:rFonts w:ascii="Times New Roman" w:hAnsi="Times New Roman" w:cs="Times New Roman"/>
          <w:i/>
          <w:lang w:bidi="es-ES"/>
        </w:rPr>
        <w:t>dicha</w:t>
      </w:r>
      <w:r w:rsidRPr="00864135">
        <w:rPr>
          <w:rFonts w:ascii="Times New Roman" w:hAnsi="Times New Roman" w:cs="Times New Roman"/>
          <w:i/>
          <w:lang w:bidi="es-ES"/>
        </w:rPr>
        <w:t xml:space="preserve"> obligación, si por operación de fluctuaciones cambiarias o cualquier otro motivo, el monto </w:t>
      </w:r>
      <w:r>
        <w:rPr>
          <w:rFonts w:ascii="Times New Roman" w:hAnsi="Times New Roman" w:cs="Times New Roman"/>
          <w:i/>
          <w:lang w:bidi="es-ES"/>
        </w:rPr>
        <w:t>a</w:t>
      </w:r>
      <w:r w:rsidRPr="00864135">
        <w:rPr>
          <w:rFonts w:ascii="Times New Roman" w:hAnsi="Times New Roman" w:cs="Times New Roman"/>
          <w:i/>
          <w:lang w:bidi="es-ES"/>
        </w:rPr>
        <w:t xml:space="preserve">fianzado no fuere suficiente para cancelar completamente </w:t>
      </w:r>
      <w:r>
        <w:rPr>
          <w:rFonts w:ascii="Times New Roman" w:hAnsi="Times New Roman" w:cs="Times New Roman"/>
          <w:i/>
          <w:lang w:bidi="es-ES"/>
        </w:rPr>
        <w:t>dichas</w:t>
      </w:r>
      <w:r w:rsidRPr="00864135">
        <w:rPr>
          <w:rFonts w:ascii="Times New Roman" w:hAnsi="Times New Roman" w:cs="Times New Roman"/>
          <w:i/>
          <w:lang w:bidi="es-ES"/>
        </w:rPr>
        <w:t xml:space="preserve"> obligaciones en la moneda pactada</w:t>
      </w:r>
      <w:r>
        <w:rPr>
          <w:rFonts w:ascii="Times New Roman" w:hAnsi="Times New Roman" w:cs="Times New Roman"/>
          <w:i/>
          <w:lang w:bidi="es-ES"/>
        </w:rPr>
        <w:t xml:space="preserve">; </w:t>
      </w:r>
      <w:r w:rsidRPr="00864135">
        <w:rPr>
          <w:rFonts w:ascii="Times New Roman" w:hAnsi="Times New Roman" w:cs="Times New Roman"/>
          <w:i/>
          <w:lang w:bidi="es-ES"/>
        </w:rPr>
        <w:t>(ii) no limitará de manera alguna la plena responsabilidad de la Sociedad para con los Tenedores</w:t>
      </w:r>
      <w:r>
        <w:rPr>
          <w:rFonts w:ascii="Times New Roman" w:hAnsi="Times New Roman" w:cs="Times New Roman"/>
          <w:i/>
          <w:lang w:bidi="es-ES"/>
        </w:rPr>
        <w:t>,</w:t>
      </w:r>
      <w:r w:rsidRPr="00864135">
        <w:rPr>
          <w:rFonts w:ascii="Times New Roman" w:hAnsi="Times New Roman" w:cs="Times New Roman"/>
          <w:i/>
          <w:lang w:bidi="es-ES"/>
        </w:rPr>
        <w:t xml:space="preserve"> y (iii) no implicará la extinción de las Obligaciones Negociables. Por el contrario, todas y cada una de las </w:t>
      </w:r>
      <w:r>
        <w:rPr>
          <w:rFonts w:ascii="Times New Roman" w:hAnsi="Times New Roman" w:cs="Times New Roman"/>
          <w:i/>
          <w:lang w:bidi="es-ES"/>
        </w:rPr>
        <w:t>o</w:t>
      </w:r>
      <w:r w:rsidRPr="00864135">
        <w:rPr>
          <w:rFonts w:ascii="Times New Roman" w:hAnsi="Times New Roman" w:cs="Times New Roman"/>
          <w:i/>
          <w:lang w:bidi="es-ES"/>
        </w:rPr>
        <w:t xml:space="preserve">bligaciones </w:t>
      </w:r>
      <w:r>
        <w:rPr>
          <w:rFonts w:ascii="Times New Roman" w:hAnsi="Times New Roman" w:cs="Times New Roman"/>
          <w:i/>
          <w:lang w:bidi="es-ES"/>
        </w:rPr>
        <w:t>de pago de la Sociedad bajo las Obligaciones Negociables</w:t>
      </w:r>
      <w:r w:rsidRPr="00864135">
        <w:rPr>
          <w:rFonts w:ascii="Times New Roman" w:hAnsi="Times New Roman" w:cs="Times New Roman"/>
          <w:i/>
          <w:lang w:bidi="es-ES"/>
        </w:rPr>
        <w:t xml:space="preserve"> subsistirán con plena vigencia y validez hasta el momento de su efectivo pago completo según sus términos, teniendo </w:t>
      </w:r>
      <w:r>
        <w:rPr>
          <w:rFonts w:ascii="Times New Roman" w:eastAsia="Times New Roman" w:hAnsi="Times New Roman" w:cs="Times New Roman"/>
          <w:i/>
          <w:lang w:bidi="es-ES"/>
        </w:rPr>
        <w:t xml:space="preserve">la Garantía del Pago de Capital de Agosto 2022 </w:t>
      </w:r>
      <w:r>
        <w:rPr>
          <w:rFonts w:ascii="Times New Roman" w:hAnsi="Times New Roman" w:cs="Times New Roman"/>
          <w:i/>
          <w:lang w:bidi="es-ES"/>
        </w:rPr>
        <w:t>c</w:t>
      </w:r>
      <w:r w:rsidRPr="00864135">
        <w:rPr>
          <w:rFonts w:ascii="Times New Roman" w:hAnsi="Times New Roman" w:cs="Times New Roman"/>
          <w:i/>
          <w:lang w:bidi="es-ES"/>
        </w:rPr>
        <w:t>arácter de mero accesorio respecto de las mismas</w:t>
      </w:r>
      <w:r>
        <w:rPr>
          <w:rFonts w:ascii="Times New Roman" w:hAnsi="Times New Roman" w:cs="Times New Roman"/>
          <w:i/>
          <w:lang w:bidi="es-ES"/>
        </w:rPr>
        <w:t>.</w:t>
      </w:r>
    </w:p>
    <w:p w14:paraId="786323A4" w14:textId="77777777" w:rsidR="005E0114" w:rsidRPr="00A81B5E" w:rsidRDefault="005E0114" w:rsidP="005E0114">
      <w:pPr>
        <w:pStyle w:val="Prrafodelista"/>
        <w:spacing w:after="0" w:line="240" w:lineRule="auto"/>
        <w:ind w:leftChars="0" w:left="993" w:firstLineChars="0" w:firstLine="0"/>
        <w:jc w:val="both"/>
        <w:rPr>
          <w:rFonts w:ascii="Times New Roman" w:eastAsia="Times New Roman" w:hAnsi="Times New Roman" w:cs="Times New Roman"/>
          <w:sz w:val="18"/>
          <w:szCs w:val="18"/>
          <w:lang w:bidi="es-ES"/>
        </w:rPr>
      </w:pPr>
    </w:p>
    <w:p w14:paraId="0E5B3D86" w14:textId="77777777" w:rsidR="005E0114" w:rsidRPr="005F38D2" w:rsidRDefault="005E0114" w:rsidP="005E0114">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b/>
          <w:lang w:bidi="es-ES"/>
        </w:rPr>
      </w:pPr>
      <w:r>
        <w:rPr>
          <w:rFonts w:ascii="Times New Roman" w:eastAsia="Times New Roman" w:hAnsi="Times New Roman" w:cs="Times New Roman"/>
          <w:lang w:bidi="es-ES"/>
        </w:rPr>
        <w:t xml:space="preserve">En caso </w:t>
      </w:r>
      <w:r w:rsidRPr="009E711B">
        <w:rPr>
          <w:rFonts w:ascii="Times New Roman" w:eastAsia="Times New Roman" w:hAnsi="Times New Roman" w:cs="Times New Roman"/>
          <w:lang w:bidi="es-ES"/>
        </w:rPr>
        <w:t>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a fin de suprimir en su totalidad</w:t>
      </w:r>
      <w:r>
        <w:rPr>
          <w:rFonts w:ascii="Times New Roman" w:eastAsia="Times New Roman" w:hAnsi="Times New Roman" w:cs="Times New Roman"/>
          <w:lang w:bidi="es-ES"/>
        </w:rPr>
        <w:t xml:space="preserve"> el</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apartado</w:t>
      </w:r>
      <w:r w:rsidRPr="004B1607">
        <w:rPr>
          <w:rFonts w:ascii="Times New Roman" w:eastAsia="Times New Roman" w:hAnsi="Times New Roman" w:cs="Times New Roman"/>
          <w:lang w:bidi="es-ES"/>
        </w:rPr>
        <w:t xml:space="preserve"> </w:t>
      </w:r>
      <w:r w:rsidRPr="004B1607">
        <w:rPr>
          <w:rFonts w:ascii="Times New Roman" w:eastAsia="Times New Roman" w:hAnsi="Times New Roman" w:cs="Times New Roman"/>
          <w:i/>
          <w:lang w:bidi="es-ES"/>
        </w:rPr>
        <w:t>“</w:t>
      </w:r>
      <w:r>
        <w:rPr>
          <w:rFonts w:ascii="Times New Roman" w:eastAsia="Times New Roman" w:hAnsi="Times New Roman" w:cs="Times New Roman"/>
          <w:i/>
          <w:lang w:bidi="es-ES"/>
        </w:rPr>
        <w:t xml:space="preserve">(IV) Términos y Condiciones Aplicables en caso de No Acuerdo con </w:t>
      </w:r>
      <w:proofErr w:type="spellStart"/>
      <w:r>
        <w:rPr>
          <w:rFonts w:ascii="Times New Roman" w:eastAsia="Times New Roman" w:hAnsi="Times New Roman" w:cs="Times New Roman"/>
          <w:i/>
          <w:lang w:bidi="es-ES"/>
        </w:rPr>
        <w:t>Itaú</w:t>
      </w:r>
      <w:proofErr w:type="spellEnd"/>
      <w:r>
        <w:rPr>
          <w:rFonts w:ascii="Times New Roman" w:eastAsia="Times New Roman" w:hAnsi="Times New Roman" w:cs="Times New Roman"/>
          <w:i/>
          <w:lang w:bidi="es-ES"/>
        </w:rPr>
        <w:t xml:space="preserve"> Sobre</w:t>
      </w:r>
      <w:r w:rsidRPr="004B1607">
        <w:rPr>
          <w:rFonts w:ascii="Times New Roman" w:eastAsia="Times New Roman" w:hAnsi="Times New Roman" w:cs="Times New Roman"/>
          <w:i/>
          <w:lang w:bidi="es-ES"/>
        </w:rPr>
        <w:t xml:space="preserve"> la Participación en Catalinas</w:t>
      </w:r>
      <w:r w:rsidRPr="004B1607">
        <w:rPr>
          <w:rFonts w:ascii="Times New Roman" w:eastAsia="Times New Roman" w:hAnsi="Times New Roman" w:cs="Times New Roman"/>
          <w:lang w:bidi="es-ES"/>
        </w:rPr>
        <w:t>”</w:t>
      </w:r>
      <w:r>
        <w:rPr>
          <w:rFonts w:ascii="Times New Roman" w:eastAsia="Times New Roman" w:hAnsi="Times New Roman" w:cs="Times New Roman"/>
          <w:lang w:bidi="es-ES"/>
        </w:rPr>
        <w:t xml:space="preserve"> </w:t>
      </w:r>
      <w:r w:rsidRPr="004B1607">
        <w:rPr>
          <w:rFonts w:ascii="Times New Roman" w:eastAsia="Times New Roman" w:hAnsi="Times New Roman" w:cs="Times New Roman"/>
          <w:lang w:bidi="es-ES"/>
        </w:rPr>
        <w:t>de</w:t>
      </w:r>
      <w:r>
        <w:rPr>
          <w:rFonts w:ascii="Times New Roman" w:eastAsia="Times New Roman" w:hAnsi="Times New Roman" w:cs="Times New Roman"/>
          <w:lang w:bidi="es-ES"/>
        </w:rPr>
        <w:t xml:space="preserve"> la</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Tercer Adenda</w:t>
      </w:r>
      <w:r>
        <w:rPr>
          <w:rFonts w:ascii="Times New Roman" w:eastAsia="Times New Roman" w:hAnsi="Times New Roman" w:cs="Times New Roman"/>
          <w:lang w:val="es-AR" w:bidi="es-ES"/>
        </w:rPr>
        <w:t>.</w:t>
      </w:r>
    </w:p>
    <w:p w14:paraId="5D53E35E" w14:textId="77777777" w:rsidR="005E0114" w:rsidRPr="00434311" w:rsidRDefault="005E0114" w:rsidP="005E0114">
      <w:pPr>
        <w:spacing w:after="0" w:line="240" w:lineRule="auto"/>
        <w:ind w:leftChars="0" w:left="993" w:firstLineChars="0" w:hanging="2"/>
        <w:jc w:val="both"/>
        <w:rPr>
          <w:rFonts w:ascii="Times New Roman" w:eastAsia="Times New Roman" w:hAnsi="Times New Roman" w:cs="Times New Roman"/>
          <w:i/>
          <w:lang w:bidi="es-ES"/>
        </w:rPr>
      </w:pPr>
    </w:p>
    <w:p w14:paraId="764674FF" w14:textId="77777777" w:rsidR="005E0114" w:rsidRPr="00AD2342" w:rsidRDefault="005E0114" w:rsidP="005E0114">
      <w:pPr>
        <w:pStyle w:val="Prrafodelista"/>
        <w:numPr>
          <w:ilvl w:val="0"/>
          <w:numId w:val="18"/>
        </w:numPr>
        <w:spacing w:after="0" w:line="240" w:lineRule="auto"/>
        <w:ind w:leftChars="0" w:left="993" w:firstLineChars="0" w:hanging="567"/>
        <w:contextualSpacing w:val="0"/>
        <w:jc w:val="both"/>
        <w:rPr>
          <w:rFonts w:ascii="Times New Roman" w:eastAsia="Times New Roman" w:hAnsi="Times New Roman" w:cs="Times New Roman"/>
          <w:u w:val="single"/>
          <w:lang w:bidi="es-ES"/>
        </w:rPr>
      </w:pPr>
      <w:r>
        <w:rPr>
          <w:rFonts w:ascii="Times New Roman" w:eastAsia="Times New Roman" w:hAnsi="Times New Roman" w:cs="Times New Roman"/>
          <w:lang w:bidi="es-ES"/>
        </w:rPr>
        <w:t>En caso</w:t>
      </w:r>
      <w:r w:rsidRPr="009E711B">
        <w:rPr>
          <w:rFonts w:ascii="Times New Roman" w:eastAsia="Times New Roman" w:hAnsi="Times New Roman" w:cs="Times New Roman"/>
          <w:lang w:bidi="es-ES"/>
        </w:rPr>
        <w:t xml:space="preserve">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w:t>
      </w:r>
      <w:r>
        <w:rPr>
          <w:rFonts w:ascii="Times New Roman" w:eastAsia="Times New Roman" w:hAnsi="Times New Roman" w:cs="Times New Roman"/>
          <w:lang w:bidi="es-ES"/>
        </w:rPr>
        <w:t>a fin de suprimir las referencias a la “</w:t>
      </w:r>
      <w:r w:rsidRPr="006B0565">
        <w:rPr>
          <w:rFonts w:ascii="Times New Roman" w:eastAsia="Times New Roman" w:hAnsi="Times New Roman" w:cs="Times New Roman"/>
          <w:i/>
          <w:lang w:bidi="es-ES"/>
        </w:rPr>
        <w:t>Prenda</w:t>
      </w:r>
      <w:r>
        <w:rPr>
          <w:rFonts w:ascii="Times New Roman" w:eastAsia="Times New Roman" w:hAnsi="Times New Roman" w:cs="Times New Roman"/>
          <w:lang w:bidi="es-ES"/>
        </w:rPr>
        <w:t>” del</w:t>
      </w:r>
      <w:r>
        <w:rPr>
          <w:rFonts w:ascii="Times New Roman" w:eastAsia="Times New Roman" w:hAnsi="Times New Roman" w:cs="Times New Roman"/>
          <w:lang w:val="es-AR" w:bidi="es-ES"/>
        </w:rPr>
        <w:t xml:space="preserve"> apartado </w:t>
      </w:r>
      <w:r w:rsidRPr="006327EC">
        <w:rPr>
          <w:rFonts w:ascii="Times New Roman" w:eastAsia="Times New Roman" w:hAnsi="Times New Roman" w:cs="Times New Roman"/>
          <w:i/>
          <w:lang w:val="es-AR" w:bidi="es-ES"/>
        </w:rPr>
        <w:t>“(V</w:t>
      </w:r>
      <w:r>
        <w:rPr>
          <w:rFonts w:ascii="Times New Roman" w:eastAsia="Times New Roman" w:hAnsi="Times New Roman" w:cs="Times New Roman"/>
          <w:i/>
          <w:lang w:val="es-AR" w:bidi="es-ES"/>
        </w:rPr>
        <w:t>I</w:t>
      </w:r>
      <w:r w:rsidRPr="006327EC">
        <w:rPr>
          <w:rFonts w:ascii="Times New Roman" w:eastAsia="Times New Roman" w:hAnsi="Times New Roman" w:cs="Times New Roman"/>
          <w:i/>
          <w:lang w:val="es-AR" w:bidi="es-ES"/>
        </w:rPr>
        <w:t>I)</w:t>
      </w:r>
      <w:r>
        <w:rPr>
          <w:rFonts w:ascii="Times New Roman" w:eastAsia="Times New Roman" w:hAnsi="Times New Roman" w:cs="Times New Roman"/>
          <w:lang w:val="es-AR" w:bidi="es-ES"/>
        </w:rPr>
        <w:t xml:space="preserve"> </w:t>
      </w:r>
      <w:r w:rsidRPr="00EA4A19">
        <w:rPr>
          <w:rFonts w:ascii="Times New Roman" w:eastAsia="Times New Roman" w:hAnsi="Times New Roman" w:cs="Times New Roman"/>
          <w:i/>
          <w:lang w:val="es-AR" w:bidi="es-ES"/>
        </w:rPr>
        <w:t>D</w:t>
      </w:r>
      <w:r w:rsidRPr="00A727DB">
        <w:rPr>
          <w:rFonts w:ascii="Times New Roman" w:eastAsia="Times New Roman" w:hAnsi="Times New Roman" w:cs="Times New Roman"/>
          <w:lang w:val="es-AR" w:bidi="es-ES"/>
        </w:rPr>
        <w:t>e</w:t>
      </w:r>
      <w:proofErr w:type="spellStart"/>
      <w:r w:rsidRPr="00A727DB">
        <w:rPr>
          <w:rFonts w:ascii="Times New Roman" w:eastAsia="Times New Roman" w:hAnsi="Times New Roman" w:cs="Times New Roman"/>
          <w:i/>
          <w:lang w:bidi="es-ES"/>
        </w:rPr>
        <w:t>recho</w:t>
      </w:r>
      <w:proofErr w:type="spellEnd"/>
      <w:r w:rsidRPr="00A727DB">
        <w:rPr>
          <w:rFonts w:ascii="Times New Roman" w:eastAsia="Times New Roman" w:hAnsi="Times New Roman" w:cs="Times New Roman"/>
          <w:i/>
          <w:lang w:bidi="es-ES"/>
        </w:rPr>
        <w:t xml:space="preserve"> de la Sociedad de liberar de la Garantía a la Prenda”</w:t>
      </w:r>
      <w:r>
        <w:rPr>
          <w:rFonts w:ascii="Times New Roman" w:eastAsia="Times New Roman" w:hAnsi="Times New Roman" w:cs="Times New Roman"/>
          <w:i/>
          <w:lang w:bidi="es-ES"/>
        </w:rPr>
        <w:t xml:space="preserve"> </w:t>
      </w:r>
      <w:r w:rsidRPr="004B1607">
        <w:rPr>
          <w:rFonts w:ascii="Times New Roman" w:eastAsia="Times New Roman" w:hAnsi="Times New Roman" w:cs="Times New Roman"/>
          <w:lang w:bidi="es-ES"/>
        </w:rPr>
        <w:t>de</w:t>
      </w:r>
      <w:r>
        <w:rPr>
          <w:rFonts w:ascii="Times New Roman" w:eastAsia="Times New Roman" w:hAnsi="Times New Roman" w:cs="Times New Roman"/>
          <w:lang w:bidi="es-ES"/>
        </w:rPr>
        <w:t xml:space="preserve"> la</w:t>
      </w:r>
      <w:r w:rsidRPr="004B1607">
        <w:rPr>
          <w:rFonts w:ascii="Times New Roman" w:eastAsia="Times New Roman" w:hAnsi="Times New Roman" w:cs="Times New Roman"/>
          <w:lang w:bidi="es-ES"/>
        </w:rPr>
        <w:t xml:space="preserve"> </w:t>
      </w:r>
      <w:r>
        <w:rPr>
          <w:rFonts w:ascii="Times New Roman" w:eastAsia="Times New Roman" w:hAnsi="Times New Roman" w:cs="Times New Roman"/>
          <w:lang w:bidi="es-ES"/>
        </w:rPr>
        <w:t xml:space="preserve">Tercer Adenda </w:t>
      </w:r>
      <w:r>
        <w:rPr>
          <w:rFonts w:ascii="Times New Roman" w:eastAsia="Times New Roman" w:hAnsi="Times New Roman" w:cs="Times New Roman"/>
          <w:lang w:val="es-AR" w:bidi="es-ES"/>
        </w:rPr>
        <w:t xml:space="preserve">se reemplazará </w:t>
      </w:r>
      <w:r>
        <w:rPr>
          <w:rFonts w:ascii="Times New Roman" w:eastAsia="Times New Roman" w:hAnsi="Times New Roman" w:cs="Times New Roman"/>
          <w:lang w:bidi="es-ES"/>
        </w:rPr>
        <w:t>dicho apartado en su totalidad, incluido el título del mismo, de modo tal que quede redactado de la siguiente manera:</w:t>
      </w:r>
    </w:p>
    <w:p w14:paraId="08035167" w14:textId="77777777" w:rsidR="005E0114" w:rsidRDefault="005E0114" w:rsidP="005E0114">
      <w:pPr>
        <w:pStyle w:val="Prrafodelista"/>
        <w:spacing w:after="0" w:line="240" w:lineRule="auto"/>
        <w:ind w:leftChars="0" w:left="993" w:firstLineChars="0" w:firstLine="0"/>
        <w:contextualSpacing w:val="0"/>
        <w:jc w:val="both"/>
        <w:rPr>
          <w:rFonts w:ascii="Times New Roman" w:eastAsia="Times New Roman" w:hAnsi="Times New Roman" w:cs="Times New Roman"/>
          <w:lang w:bidi="es-ES"/>
        </w:rPr>
      </w:pPr>
    </w:p>
    <w:p w14:paraId="02568C27" w14:textId="77777777" w:rsidR="005E0114" w:rsidRPr="00AB4F6E" w:rsidRDefault="005E0114" w:rsidP="005E0114">
      <w:pPr>
        <w:spacing w:after="0" w:line="240" w:lineRule="auto"/>
        <w:ind w:leftChars="0" w:left="993" w:firstLineChars="0" w:hanging="2"/>
        <w:jc w:val="both"/>
        <w:rPr>
          <w:rFonts w:ascii="Times New Roman" w:eastAsia="Times New Roman" w:hAnsi="Times New Roman" w:cs="Times New Roman"/>
          <w:i/>
          <w:u w:val="single"/>
          <w:lang w:bidi="es-ES"/>
        </w:rPr>
      </w:pPr>
      <w:r w:rsidRPr="00434311">
        <w:rPr>
          <w:rFonts w:ascii="Times New Roman" w:eastAsia="Times New Roman" w:hAnsi="Times New Roman" w:cs="Times New Roman"/>
          <w:i/>
          <w:lang w:bidi="es-ES"/>
        </w:rPr>
        <w:t>(VI</w:t>
      </w:r>
      <w:r>
        <w:rPr>
          <w:rFonts w:ascii="Times New Roman" w:eastAsia="Times New Roman" w:hAnsi="Times New Roman" w:cs="Times New Roman"/>
          <w:i/>
          <w:lang w:bidi="es-ES"/>
        </w:rPr>
        <w:t>I</w:t>
      </w:r>
      <w:r w:rsidRPr="00434311">
        <w:rPr>
          <w:rFonts w:ascii="Times New Roman" w:eastAsia="Times New Roman" w:hAnsi="Times New Roman" w:cs="Times New Roman"/>
          <w:i/>
          <w:lang w:bidi="es-ES"/>
        </w:rPr>
        <w:t xml:space="preserve">) </w:t>
      </w:r>
      <w:r w:rsidRPr="00AB4F6E">
        <w:rPr>
          <w:rFonts w:ascii="Times New Roman" w:eastAsia="Times New Roman" w:hAnsi="Times New Roman" w:cs="Times New Roman"/>
          <w:i/>
          <w:u w:val="single"/>
          <w:lang w:bidi="es-ES"/>
        </w:rPr>
        <w:t xml:space="preserve">Derecho de la Sociedad de </w:t>
      </w:r>
      <w:r w:rsidRPr="00AB4F6E">
        <w:rPr>
          <w:rFonts w:ascii="Times New Roman" w:hAnsi="Times New Roman" w:cs="Times New Roman"/>
          <w:i/>
          <w:u w:val="single"/>
          <w:lang w:bidi="es-ES"/>
        </w:rPr>
        <w:t xml:space="preserve">Concretar el Acuerdo con </w:t>
      </w:r>
      <w:proofErr w:type="spellStart"/>
      <w:r w:rsidRPr="00AB4F6E">
        <w:rPr>
          <w:rFonts w:ascii="Times New Roman" w:hAnsi="Times New Roman" w:cs="Times New Roman"/>
          <w:i/>
          <w:u w:val="single"/>
          <w:lang w:bidi="es-ES"/>
        </w:rPr>
        <w:t>Itaú</w:t>
      </w:r>
      <w:proofErr w:type="spellEnd"/>
      <w:r w:rsidRPr="00AB4F6E">
        <w:rPr>
          <w:rFonts w:ascii="Times New Roman" w:hAnsi="Times New Roman" w:cs="Times New Roman"/>
          <w:i/>
          <w:u w:val="single"/>
          <w:lang w:bidi="es-ES"/>
        </w:rPr>
        <w:t xml:space="preserve"> sobre la Participación en Catalinas</w:t>
      </w:r>
    </w:p>
    <w:p w14:paraId="4D4B5C54" w14:textId="77777777" w:rsidR="005E0114" w:rsidRPr="00AD2342" w:rsidRDefault="005E0114" w:rsidP="005E0114">
      <w:pPr>
        <w:pStyle w:val="Prrafodelista"/>
        <w:spacing w:after="0" w:line="240" w:lineRule="auto"/>
        <w:ind w:leftChars="450" w:left="990" w:firstLineChars="0" w:firstLine="1"/>
        <w:contextualSpacing w:val="0"/>
        <w:rPr>
          <w:rFonts w:ascii="Times New Roman" w:eastAsia="Times New Roman" w:hAnsi="Times New Roman" w:cs="Times New Roman"/>
          <w:i/>
          <w:u w:val="single"/>
          <w:lang w:bidi="es-ES"/>
        </w:rPr>
      </w:pPr>
    </w:p>
    <w:p w14:paraId="5F21EA24" w14:textId="77777777" w:rsidR="005E0114"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b/>
          <w:i/>
          <w:lang w:bidi="es-ES"/>
        </w:rPr>
      </w:pPr>
      <w:r w:rsidRPr="006B0565">
        <w:rPr>
          <w:rFonts w:ascii="Times New Roman" w:eastAsia="Times New Roman" w:hAnsi="Times New Roman" w:cs="Times New Roman"/>
          <w:i/>
          <w:lang w:bidi="es-ES"/>
        </w:rPr>
        <w:t xml:space="preserve">La Sociedad tendrá el derecho de concretar el Acuerdo con </w:t>
      </w:r>
      <w:proofErr w:type="spellStart"/>
      <w:r w:rsidRPr="006B0565">
        <w:rPr>
          <w:rFonts w:ascii="Times New Roman" w:eastAsia="Times New Roman" w:hAnsi="Times New Roman" w:cs="Times New Roman"/>
          <w:i/>
          <w:lang w:bidi="es-ES"/>
        </w:rPr>
        <w:t>Itaú</w:t>
      </w:r>
      <w:proofErr w:type="spellEnd"/>
      <w:r w:rsidRPr="006B0565">
        <w:rPr>
          <w:rFonts w:ascii="Times New Roman" w:eastAsia="Times New Roman" w:hAnsi="Times New Roman" w:cs="Times New Roman"/>
          <w:i/>
          <w:lang w:bidi="es-ES"/>
        </w:rPr>
        <w:t xml:space="preserve"> sobre la Participación en Catalinas sin necesidad de consentimiento adicional de los Tenedores siempre y cuando, en o antes del </w:t>
      </w:r>
      <w:r>
        <w:rPr>
          <w:rFonts w:ascii="Times New Roman" w:eastAsia="Times New Roman" w:hAnsi="Times New Roman" w:cs="Times New Roman"/>
          <w:i/>
          <w:lang w:bidi="es-ES"/>
        </w:rPr>
        <w:t>31</w:t>
      </w:r>
      <w:r w:rsidRPr="006B0565">
        <w:rPr>
          <w:rFonts w:ascii="Times New Roman" w:eastAsia="Times New Roman" w:hAnsi="Times New Roman" w:cs="Times New Roman"/>
          <w:i/>
          <w:lang w:bidi="es-ES"/>
        </w:rPr>
        <w:t xml:space="preserve"> de </w:t>
      </w:r>
      <w:r>
        <w:rPr>
          <w:rFonts w:ascii="Times New Roman" w:eastAsia="Times New Roman" w:hAnsi="Times New Roman" w:cs="Times New Roman"/>
          <w:i/>
          <w:lang w:bidi="es-ES"/>
        </w:rPr>
        <w:t>marzo</w:t>
      </w:r>
      <w:r w:rsidRPr="006B0565">
        <w:rPr>
          <w:rFonts w:ascii="Times New Roman" w:eastAsia="Times New Roman" w:hAnsi="Times New Roman" w:cs="Times New Roman"/>
          <w:i/>
          <w:lang w:bidi="es-ES"/>
        </w:rPr>
        <w:t xml:space="preserve"> de 2022</w:t>
      </w:r>
      <w:r>
        <w:rPr>
          <w:rFonts w:ascii="Times New Roman" w:eastAsia="Times New Roman" w:hAnsi="Times New Roman" w:cs="Times New Roman"/>
          <w:i/>
          <w:lang w:bidi="es-ES"/>
        </w:rPr>
        <w:t>,</w:t>
      </w:r>
      <w:r w:rsidRPr="006B0565">
        <w:rPr>
          <w:rFonts w:ascii="Times New Roman" w:eastAsia="Times New Roman" w:hAnsi="Times New Roman" w:cs="Times New Roman"/>
          <w:i/>
          <w:lang w:bidi="es-ES"/>
        </w:rPr>
        <w:t xml:space="preserve"> Banco </w:t>
      </w:r>
      <w:proofErr w:type="spellStart"/>
      <w:r w:rsidRPr="006B0565">
        <w:rPr>
          <w:rFonts w:ascii="Times New Roman" w:eastAsia="Times New Roman" w:hAnsi="Times New Roman" w:cs="Times New Roman"/>
          <w:i/>
          <w:lang w:bidi="es-ES"/>
        </w:rPr>
        <w:t>Itaú</w:t>
      </w:r>
      <w:proofErr w:type="spellEnd"/>
      <w:r>
        <w:rPr>
          <w:rFonts w:ascii="Times New Roman" w:eastAsia="Times New Roman" w:hAnsi="Times New Roman" w:cs="Times New Roman"/>
          <w:i/>
          <w:lang w:bidi="es-ES"/>
        </w:rPr>
        <w:t xml:space="preserve"> e </w:t>
      </w:r>
      <w:proofErr w:type="spellStart"/>
      <w:r w:rsidRPr="002954C2">
        <w:rPr>
          <w:rFonts w:ascii="Times New Roman" w:eastAsia="Times New Roman" w:hAnsi="Times New Roman" w:cs="Times New Roman"/>
          <w:i/>
          <w:lang w:bidi="es-ES"/>
        </w:rPr>
        <w:t>Itaú</w:t>
      </w:r>
      <w:proofErr w:type="spellEnd"/>
      <w:r w:rsidRPr="002954C2">
        <w:rPr>
          <w:rFonts w:ascii="Times New Roman" w:eastAsia="Times New Roman" w:hAnsi="Times New Roman" w:cs="Times New Roman"/>
          <w:i/>
          <w:lang w:bidi="es-ES"/>
        </w:rPr>
        <w:t xml:space="preserve"> </w:t>
      </w:r>
      <w:proofErr w:type="spellStart"/>
      <w:r w:rsidRPr="002954C2">
        <w:rPr>
          <w:rFonts w:ascii="Times New Roman" w:eastAsia="Times New Roman" w:hAnsi="Times New Roman" w:cs="Times New Roman"/>
          <w:i/>
          <w:lang w:bidi="es-ES"/>
        </w:rPr>
        <w:t>Asset</w:t>
      </w:r>
      <w:proofErr w:type="spellEnd"/>
      <w:r w:rsidRPr="002954C2">
        <w:rPr>
          <w:rFonts w:ascii="Times New Roman" w:eastAsia="Times New Roman" w:hAnsi="Times New Roman" w:cs="Times New Roman"/>
          <w:i/>
          <w:lang w:bidi="es-ES"/>
        </w:rPr>
        <w:t xml:space="preserve"> Manag</w:t>
      </w:r>
      <w:r>
        <w:rPr>
          <w:rFonts w:ascii="Times New Roman" w:eastAsia="Times New Roman" w:hAnsi="Times New Roman" w:cs="Times New Roman"/>
          <w:i/>
          <w:lang w:bidi="es-ES"/>
        </w:rPr>
        <w:t>e</w:t>
      </w:r>
      <w:r w:rsidRPr="002954C2">
        <w:rPr>
          <w:rFonts w:ascii="Times New Roman" w:eastAsia="Times New Roman" w:hAnsi="Times New Roman" w:cs="Times New Roman"/>
          <w:i/>
          <w:lang w:bidi="es-ES"/>
        </w:rPr>
        <w:t>ment</w:t>
      </w:r>
      <w:r>
        <w:rPr>
          <w:rFonts w:ascii="Times New Roman" w:eastAsia="Times New Roman" w:hAnsi="Times New Roman" w:cs="Times New Roman"/>
          <w:i/>
          <w:lang w:bidi="es-ES"/>
        </w:rPr>
        <w:t xml:space="preserve"> S.G.F.C.I.S.A.</w:t>
      </w:r>
      <w:r>
        <w:rPr>
          <w:rFonts w:ascii="Times New Roman" w:eastAsia="Times New Roman" w:hAnsi="Times New Roman" w:cs="Times New Roman"/>
          <w:lang w:bidi="es-ES"/>
        </w:rPr>
        <w:t xml:space="preserve"> </w:t>
      </w:r>
      <w:r w:rsidRPr="00F71FDE">
        <w:rPr>
          <w:rFonts w:ascii="Times New Roman" w:eastAsia="Times New Roman" w:hAnsi="Times New Roman" w:cs="Times New Roman"/>
          <w:i/>
          <w:lang w:bidi="es-ES"/>
        </w:rPr>
        <w:t>(</w:t>
      </w:r>
      <w:r>
        <w:rPr>
          <w:rFonts w:ascii="Times New Roman" w:eastAsia="Times New Roman" w:hAnsi="Times New Roman" w:cs="Times New Roman"/>
          <w:i/>
          <w:lang w:bidi="es-ES"/>
        </w:rPr>
        <w:t>“</w:t>
      </w:r>
      <w:proofErr w:type="spellStart"/>
      <w:r w:rsidRPr="00F71FDE">
        <w:rPr>
          <w:rFonts w:ascii="Times New Roman" w:eastAsia="Times New Roman" w:hAnsi="Times New Roman" w:cs="Times New Roman"/>
          <w:i/>
          <w:u w:val="single"/>
          <w:lang w:bidi="es-ES"/>
        </w:rPr>
        <w:t>Itaú</w:t>
      </w:r>
      <w:proofErr w:type="spellEnd"/>
      <w:r w:rsidRPr="00F71FDE">
        <w:rPr>
          <w:rFonts w:ascii="Times New Roman" w:eastAsia="Times New Roman" w:hAnsi="Times New Roman" w:cs="Times New Roman"/>
          <w:i/>
          <w:u w:val="single"/>
          <w:lang w:bidi="es-ES"/>
        </w:rPr>
        <w:t xml:space="preserve"> </w:t>
      </w:r>
      <w:proofErr w:type="spellStart"/>
      <w:r w:rsidRPr="00F71FDE">
        <w:rPr>
          <w:rFonts w:ascii="Times New Roman" w:eastAsia="Times New Roman" w:hAnsi="Times New Roman" w:cs="Times New Roman"/>
          <w:i/>
          <w:u w:val="single"/>
          <w:lang w:bidi="es-ES"/>
        </w:rPr>
        <w:t>Asset</w:t>
      </w:r>
      <w:proofErr w:type="spellEnd"/>
      <w:r w:rsidRPr="00F71FDE">
        <w:rPr>
          <w:rFonts w:ascii="Times New Roman" w:eastAsia="Times New Roman" w:hAnsi="Times New Roman" w:cs="Times New Roman"/>
          <w:i/>
          <w:u w:val="single"/>
          <w:lang w:bidi="es-ES"/>
        </w:rPr>
        <w:t xml:space="preserve"> Management</w:t>
      </w:r>
      <w:r>
        <w:rPr>
          <w:rFonts w:ascii="Times New Roman" w:eastAsia="Times New Roman" w:hAnsi="Times New Roman" w:cs="Times New Roman"/>
          <w:i/>
          <w:lang w:bidi="es-ES"/>
        </w:rPr>
        <w:t>”)</w:t>
      </w:r>
      <w:r w:rsidRPr="006B0565">
        <w:rPr>
          <w:rFonts w:ascii="Times New Roman" w:eastAsia="Times New Roman" w:hAnsi="Times New Roman" w:cs="Times New Roman"/>
          <w:i/>
          <w:lang w:bidi="es-ES"/>
        </w:rPr>
        <w:t xml:space="preserve"> haya</w:t>
      </w:r>
      <w:r>
        <w:rPr>
          <w:rFonts w:ascii="Times New Roman" w:eastAsia="Times New Roman" w:hAnsi="Times New Roman" w:cs="Times New Roman"/>
          <w:i/>
          <w:lang w:bidi="es-ES"/>
        </w:rPr>
        <w:t>n</w:t>
      </w:r>
      <w:r w:rsidRPr="006B0565">
        <w:rPr>
          <w:rFonts w:ascii="Times New Roman" w:eastAsia="Times New Roman" w:hAnsi="Times New Roman" w:cs="Times New Roman"/>
          <w:i/>
          <w:lang w:bidi="es-ES"/>
        </w:rPr>
        <w:t xml:space="preserve"> aceptado adquirir de la Sociedad la Participación en Catalinas </w:t>
      </w:r>
      <w:r>
        <w:rPr>
          <w:rFonts w:ascii="Times New Roman" w:eastAsia="Times New Roman" w:hAnsi="Times New Roman" w:cs="Times New Roman"/>
          <w:i/>
          <w:lang w:bidi="es-ES"/>
        </w:rPr>
        <w:t xml:space="preserve">(en las proporciones que se establecerán en dicho acuerdo) </w:t>
      </w:r>
      <w:r w:rsidRPr="006B0565">
        <w:rPr>
          <w:rFonts w:ascii="Times New Roman" w:eastAsia="Times New Roman" w:hAnsi="Times New Roman" w:cs="Times New Roman"/>
          <w:i/>
          <w:lang w:bidi="es-ES"/>
        </w:rPr>
        <w:t>y como consecuencia de</w:t>
      </w:r>
      <w:r>
        <w:rPr>
          <w:rFonts w:ascii="Times New Roman" w:eastAsia="Times New Roman" w:hAnsi="Times New Roman" w:cs="Times New Roman"/>
          <w:i/>
          <w:lang w:bidi="es-ES"/>
        </w:rPr>
        <w:t>l</w:t>
      </w:r>
      <w:r w:rsidRPr="006B0565">
        <w:rPr>
          <w:rFonts w:ascii="Times New Roman" w:eastAsia="Times New Roman" w:hAnsi="Times New Roman" w:cs="Times New Roman"/>
          <w:i/>
          <w:lang w:bidi="es-ES"/>
        </w:rPr>
        <w:t xml:space="preserve"> acuerdo se den conjuntamente las siguientes condiciones: </w:t>
      </w:r>
    </w:p>
    <w:p w14:paraId="33205FF0" w14:textId="77777777" w:rsidR="005E0114"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b/>
          <w:i/>
          <w:lang w:bidi="es-ES"/>
        </w:rPr>
      </w:pPr>
    </w:p>
    <w:p w14:paraId="7C0D5380" w14:textId="77777777" w:rsidR="005E0114" w:rsidRPr="006B0565"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b/>
          <w:i/>
          <w:lang w:val="es-AR" w:bidi="es-ES"/>
        </w:rPr>
      </w:pPr>
      <w:r w:rsidRPr="006B0565">
        <w:rPr>
          <w:rFonts w:ascii="Times New Roman" w:eastAsia="Times New Roman" w:hAnsi="Times New Roman" w:cs="Times New Roman"/>
          <w:b/>
          <w:i/>
          <w:lang w:bidi="es-ES"/>
        </w:rPr>
        <w:t>(A)</w:t>
      </w:r>
      <w:r w:rsidRPr="006B0565">
        <w:rPr>
          <w:rFonts w:ascii="Times New Roman" w:eastAsia="Times New Roman" w:hAnsi="Times New Roman" w:cs="Times New Roman"/>
          <w:i/>
          <w:lang w:bidi="es-ES"/>
        </w:rPr>
        <w:t xml:space="preserve"> </w:t>
      </w:r>
      <w:proofErr w:type="gramStart"/>
      <w:r w:rsidRPr="006B0565">
        <w:rPr>
          <w:rFonts w:ascii="Times New Roman" w:eastAsia="Times New Roman" w:hAnsi="Times New Roman" w:cs="Times New Roman"/>
          <w:i/>
          <w:lang w:bidi="es-ES"/>
        </w:rPr>
        <w:t>al</w:t>
      </w:r>
      <w:proofErr w:type="gramEnd"/>
      <w:r w:rsidRPr="006B0565">
        <w:rPr>
          <w:rFonts w:ascii="Times New Roman" w:eastAsia="Times New Roman" w:hAnsi="Times New Roman" w:cs="Times New Roman"/>
          <w:i/>
          <w:lang w:bidi="es-ES"/>
        </w:rPr>
        <w:t xml:space="preserve"> menos el </w:t>
      </w:r>
      <w:r>
        <w:rPr>
          <w:rFonts w:ascii="Times New Roman" w:eastAsia="Times New Roman" w:hAnsi="Times New Roman" w:cs="Times New Roman"/>
          <w:i/>
          <w:lang w:bidi="es-ES"/>
        </w:rPr>
        <w:t>85</w:t>
      </w:r>
      <w:r w:rsidRPr="007B409B">
        <w:rPr>
          <w:rFonts w:ascii="Times New Roman" w:eastAsia="Times New Roman" w:hAnsi="Times New Roman" w:cs="Times New Roman"/>
          <w:i/>
          <w:lang w:bidi="es-ES"/>
        </w:rPr>
        <w:t>,00%</w:t>
      </w:r>
      <w:r w:rsidRPr="006B0565">
        <w:rPr>
          <w:rFonts w:ascii="Times New Roman" w:eastAsia="Times New Roman" w:hAnsi="Times New Roman" w:cs="Times New Roman"/>
          <w:i/>
          <w:lang w:bidi="es-ES"/>
        </w:rPr>
        <w:t xml:space="preserve"> de </w:t>
      </w:r>
      <w:r w:rsidRPr="006B0565">
        <w:rPr>
          <w:rFonts w:ascii="Times New Roman" w:eastAsia="Times New Roman" w:hAnsi="Times New Roman" w:cs="Times New Roman"/>
          <w:i/>
          <w:lang w:val="es-AR" w:bidi="es-ES"/>
        </w:rPr>
        <w:t xml:space="preserve">las obligaciones financieras en concepto de capital e intereses devengados de la Sociedad, en forma conjunta, con: (i)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bajo el contrato de línea de crédito de fecha 1</w:t>
      </w:r>
      <w:r>
        <w:rPr>
          <w:rFonts w:ascii="Times New Roman" w:eastAsia="Times New Roman" w:hAnsi="Times New Roman" w:cs="Times New Roman"/>
          <w:i/>
          <w:lang w:val="es-AR" w:bidi="es-ES"/>
        </w:rPr>
        <w:t>9</w:t>
      </w:r>
      <w:r w:rsidRPr="006B0565">
        <w:rPr>
          <w:rFonts w:ascii="Times New Roman" w:eastAsia="Times New Roman" w:hAnsi="Times New Roman" w:cs="Times New Roman"/>
          <w:i/>
          <w:lang w:val="es-AR" w:bidi="es-ES"/>
        </w:rPr>
        <w:t xml:space="preserve"> de diciembre de 2019 (conforme fuera refinanciado mediante la enmienda del 3</w:t>
      </w:r>
      <w:r>
        <w:rPr>
          <w:rFonts w:ascii="Times New Roman" w:eastAsia="Times New Roman" w:hAnsi="Times New Roman" w:cs="Times New Roman"/>
          <w:i/>
          <w:lang w:val="es-AR" w:bidi="es-ES"/>
        </w:rPr>
        <w:t>1</w:t>
      </w:r>
      <w:r w:rsidRPr="006B0565">
        <w:rPr>
          <w:rFonts w:ascii="Times New Roman" w:eastAsia="Times New Roman" w:hAnsi="Times New Roman" w:cs="Times New Roman"/>
          <w:i/>
          <w:lang w:val="es-AR" w:bidi="es-ES"/>
        </w:rPr>
        <w:t xml:space="preserve"> de marzo de 2021), y (ii) </w:t>
      </w:r>
      <w:proofErr w:type="spellStart"/>
      <w:r w:rsidRPr="006B0565">
        <w:rPr>
          <w:rFonts w:ascii="Times New Roman" w:eastAsia="Times New Roman" w:hAnsi="Times New Roman" w:cs="Times New Roman"/>
          <w:i/>
          <w:lang w:bidi="es-ES"/>
        </w:rPr>
        <w:t>Argentum</w:t>
      </w:r>
      <w:proofErr w:type="spellEnd"/>
      <w:r w:rsidRPr="006B0565">
        <w:rPr>
          <w:rFonts w:ascii="Times New Roman" w:eastAsia="Times New Roman" w:hAnsi="Times New Roman" w:cs="Times New Roman"/>
          <w:i/>
          <w:lang w:bidi="es-ES"/>
        </w:rPr>
        <w:t xml:space="preserve"> </w:t>
      </w:r>
      <w:proofErr w:type="spellStart"/>
      <w:r w:rsidRPr="006B0565">
        <w:rPr>
          <w:rFonts w:ascii="Times New Roman" w:eastAsia="Times New Roman" w:hAnsi="Times New Roman" w:cs="Times New Roman"/>
          <w:i/>
          <w:lang w:bidi="es-ES"/>
        </w:rPr>
        <w:t>Investments</w:t>
      </w:r>
      <w:proofErr w:type="spellEnd"/>
      <w:r w:rsidRPr="006B0565">
        <w:rPr>
          <w:rFonts w:ascii="Times New Roman" w:eastAsia="Times New Roman" w:hAnsi="Times New Roman" w:cs="Times New Roman"/>
          <w:i/>
          <w:lang w:bidi="es-ES"/>
        </w:rPr>
        <w:t xml:space="preserve"> V LLC bajo la obligación negociable privada suscripta </w:t>
      </w:r>
      <w:r w:rsidRPr="006B0565">
        <w:rPr>
          <w:rFonts w:ascii="Times New Roman" w:eastAsia="Times New Roman" w:hAnsi="Times New Roman" w:cs="Times New Roman"/>
          <w:i/>
          <w:lang w:val="es-AR" w:bidi="es-ES"/>
        </w:rPr>
        <w:t>por un monto de US$6.000.000; fueran canceladas;</w:t>
      </w:r>
      <w:r>
        <w:rPr>
          <w:rFonts w:ascii="Times New Roman" w:eastAsia="Times New Roman" w:hAnsi="Times New Roman" w:cs="Times New Roman"/>
          <w:i/>
          <w:lang w:val="es-AR" w:bidi="es-ES"/>
        </w:rPr>
        <w:t xml:space="preserve"> </w:t>
      </w:r>
    </w:p>
    <w:p w14:paraId="2649431F" w14:textId="77777777" w:rsidR="005E0114" w:rsidRPr="007B409B" w:rsidRDefault="005E0114" w:rsidP="005E0114">
      <w:pPr>
        <w:spacing w:after="0" w:line="240" w:lineRule="auto"/>
        <w:ind w:leftChars="327" w:left="721" w:firstLineChars="0" w:hanging="2"/>
        <w:jc w:val="both"/>
        <w:rPr>
          <w:rFonts w:ascii="Times New Roman" w:eastAsia="Times New Roman" w:hAnsi="Times New Roman" w:cs="Times New Roman"/>
          <w:i/>
          <w:lang w:val="es-AR" w:bidi="es-ES"/>
        </w:rPr>
      </w:pPr>
    </w:p>
    <w:p w14:paraId="63A0CC35" w14:textId="77777777" w:rsidR="005E0114" w:rsidRPr="006B0565" w:rsidRDefault="005E0114" w:rsidP="005E0114">
      <w:pPr>
        <w:pStyle w:val="Prrafodelista"/>
        <w:spacing w:after="0" w:line="240" w:lineRule="auto"/>
        <w:ind w:leftChars="450" w:left="990" w:firstLineChars="0" w:firstLine="1"/>
        <w:jc w:val="both"/>
        <w:rPr>
          <w:rFonts w:ascii="Times New Roman" w:eastAsia="Times New Roman" w:hAnsi="Times New Roman" w:cs="Times New Roman"/>
          <w:b/>
          <w:i/>
          <w:lang w:val="es-AR" w:bidi="es-ES"/>
        </w:rPr>
      </w:pPr>
      <w:r w:rsidRPr="006B0565">
        <w:rPr>
          <w:rFonts w:ascii="Times New Roman" w:eastAsia="Times New Roman" w:hAnsi="Times New Roman" w:cs="Times New Roman"/>
          <w:b/>
          <w:i/>
          <w:lang w:val="es-AR" w:bidi="es-ES"/>
        </w:rPr>
        <w:t>B)</w:t>
      </w:r>
      <w:r w:rsidRPr="006B0565">
        <w:rPr>
          <w:rFonts w:ascii="Times New Roman" w:eastAsia="Times New Roman" w:hAnsi="Times New Roman" w:cs="Times New Roman"/>
          <w:i/>
          <w:lang w:val="es-AR" w:bidi="es-ES"/>
        </w:rPr>
        <w:t xml:space="preserve"> a partir del pago del 10,00% del monto de capital de las Obligaciones Negociables adeudado a esa fecha incluyendo todos los intereses capitalizados hasta dicha fecha inclusive, al cual se aplicará una quita del 20,00%, que la Sociedad deberá hacer el 11 de agosto de 2022, </w:t>
      </w:r>
      <w:r>
        <w:rPr>
          <w:rFonts w:ascii="Times New Roman" w:eastAsia="Times New Roman" w:hAnsi="Times New Roman" w:cs="Times New Roman"/>
          <w:i/>
          <w:lang w:val="es-AR" w:bidi="es-ES"/>
        </w:rPr>
        <w:t xml:space="preserve">y siempre y cuando la Sociedad haya cancelado todas las obligaciones a su cargo bajo la </w:t>
      </w:r>
      <w:r>
        <w:rPr>
          <w:rFonts w:ascii="Times New Roman" w:eastAsia="Times New Roman" w:hAnsi="Times New Roman" w:cs="Times New Roman"/>
          <w:i/>
          <w:lang w:bidi="es-ES"/>
        </w:rPr>
        <w:t>Garantía del Pago de Capital de Agosto 2022</w:t>
      </w:r>
      <w:r>
        <w:rPr>
          <w:rFonts w:ascii="Times New Roman" w:eastAsia="Times New Roman" w:hAnsi="Times New Roman" w:cs="Times New Roman"/>
          <w:i/>
          <w:lang w:val="es-AR" w:bidi="es-ES"/>
        </w:rPr>
        <w:t xml:space="preserve">, </w:t>
      </w:r>
      <w:r w:rsidRPr="006B0565">
        <w:rPr>
          <w:rFonts w:ascii="Times New Roman" w:eastAsia="Times New Roman" w:hAnsi="Times New Roman" w:cs="Times New Roman"/>
          <w:i/>
          <w:lang w:val="es-AR" w:bidi="es-ES"/>
        </w:rPr>
        <w:t xml:space="preserve">se liberen todas las garantías reales otorgadas bajo las obligaciones financieras de la Sociedad con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salvo aquellas garantías </w:t>
      </w:r>
      <w:r>
        <w:rPr>
          <w:rFonts w:ascii="Times New Roman" w:eastAsia="Times New Roman" w:hAnsi="Times New Roman" w:cs="Times New Roman"/>
          <w:i/>
          <w:lang w:val="es-AR" w:bidi="es-ES"/>
        </w:rPr>
        <w:t xml:space="preserve">(excluido cualquier gravamen hipotecario sobre el Inmueble Hudson) </w:t>
      </w:r>
      <w:r w:rsidRPr="006B0565">
        <w:rPr>
          <w:rFonts w:ascii="Times New Roman" w:eastAsia="Times New Roman" w:hAnsi="Times New Roman" w:cs="Times New Roman"/>
          <w:i/>
          <w:lang w:val="es-AR" w:bidi="es-ES"/>
        </w:rPr>
        <w:t xml:space="preserve">que garanticen el saldo remanente de las </w:t>
      </w:r>
      <w:r w:rsidRPr="006B0565">
        <w:rPr>
          <w:rFonts w:ascii="Times New Roman" w:eastAsia="Times New Roman" w:hAnsi="Times New Roman" w:cs="Times New Roman"/>
          <w:i/>
          <w:lang w:val="es-AR" w:bidi="es-ES"/>
        </w:rPr>
        <w:lastRenderedPageBreak/>
        <w:t xml:space="preserve">obligaciones financieras de la Sociedad con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Uruguay S.A. e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w:t>
      </w:r>
      <w:proofErr w:type="spellStart"/>
      <w:r w:rsidRPr="006B0565">
        <w:rPr>
          <w:rFonts w:ascii="Times New Roman" w:eastAsia="Times New Roman" w:hAnsi="Times New Roman" w:cs="Times New Roman"/>
          <w:i/>
          <w:lang w:val="es-AR" w:bidi="es-ES"/>
        </w:rPr>
        <w:t>Unibanco</w:t>
      </w:r>
      <w:proofErr w:type="spellEnd"/>
      <w:r w:rsidRPr="006B0565">
        <w:rPr>
          <w:rFonts w:ascii="Times New Roman" w:eastAsia="Times New Roman" w:hAnsi="Times New Roman" w:cs="Times New Roman"/>
          <w:i/>
          <w:lang w:val="es-AR" w:bidi="es-ES"/>
        </w:rPr>
        <w:t xml:space="preserve"> S.A. Nassau </w:t>
      </w:r>
      <w:proofErr w:type="spellStart"/>
      <w:r w:rsidRPr="006B0565">
        <w:rPr>
          <w:rFonts w:ascii="Times New Roman" w:eastAsia="Times New Roman" w:hAnsi="Times New Roman" w:cs="Times New Roman"/>
          <w:i/>
          <w:lang w:val="es-AR" w:bidi="es-ES"/>
        </w:rPr>
        <w:t>Branch</w:t>
      </w:r>
      <w:proofErr w:type="spellEnd"/>
      <w:r w:rsidRPr="006B0565">
        <w:rPr>
          <w:rFonts w:ascii="Times New Roman" w:eastAsia="Times New Roman" w:hAnsi="Times New Roman" w:cs="Times New Roman"/>
          <w:i/>
          <w:lang w:val="es-AR" w:bidi="es-ES"/>
        </w:rPr>
        <w:t xml:space="preserve">, y que le otorguen un ratio de cobertura menor o igual </w:t>
      </w:r>
      <w:r w:rsidRPr="00B9638D">
        <w:rPr>
          <w:rFonts w:ascii="Times New Roman" w:eastAsia="Times New Roman" w:hAnsi="Times New Roman" w:cs="Times New Roman"/>
          <w:i/>
          <w:lang w:val="es-AR" w:bidi="es-ES"/>
        </w:rPr>
        <w:t xml:space="preserve">a </w:t>
      </w:r>
      <w:r w:rsidRPr="006E507C">
        <w:rPr>
          <w:rFonts w:ascii="Times New Roman" w:eastAsia="Times New Roman" w:hAnsi="Times New Roman" w:cs="Times New Roman"/>
          <w:i/>
          <w:lang w:val="es-AR" w:bidi="es-ES"/>
        </w:rPr>
        <w:t>1.00x</w:t>
      </w:r>
      <w:r w:rsidRPr="006B0565">
        <w:rPr>
          <w:rFonts w:ascii="Times New Roman" w:eastAsia="Times New Roman" w:hAnsi="Times New Roman" w:cs="Times New Roman"/>
          <w:i/>
          <w:lang w:val="es-AR" w:bidi="es-ES"/>
        </w:rPr>
        <w:t xml:space="preserve"> sobre el monto de capital remanente pendiente de pago a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Argentina S.A. Banco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Uruguay S.A. e </w:t>
      </w:r>
      <w:proofErr w:type="spellStart"/>
      <w:r w:rsidRPr="006B0565">
        <w:rPr>
          <w:rFonts w:ascii="Times New Roman" w:eastAsia="Times New Roman" w:hAnsi="Times New Roman" w:cs="Times New Roman"/>
          <w:i/>
          <w:lang w:val="es-AR" w:bidi="es-ES"/>
        </w:rPr>
        <w:t>Itaú</w:t>
      </w:r>
      <w:proofErr w:type="spellEnd"/>
      <w:r w:rsidRPr="006B0565">
        <w:rPr>
          <w:rFonts w:ascii="Times New Roman" w:eastAsia="Times New Roman" w:hAnsi="Times New Roman" w:cs="Times New Roman"/>
          <w:i/>
          <w:lang w:val="es-AR" w:bidi="es-ES"/>
        </w:rPr>
        <w:t xml:space="preserve"> </w:t>
      </w:r>
      <w:proofErr w:type="spellStart"/>
      <w:r w:rsidRPr="006B0565">
        <w:rPr>
          <w:rFonts w:ascii="Times New Roman" w:eastAsia="Times New Roman" w:hAnsi="Times New Roman" w:cs="Times New Roman"/>
          <w:i/>
          <w:lang w:val="es-AR" w:bidi="es-ES"/>
        </w:rPr>
        <w:t>Unibanco</w:t>
      </w:r>
      <w:proofErr w:type="spellEnd"/>
      <w:r w:rsidRPr="006B0565">
        <w:rPr>
          <w:rFonts w:ascii="Times New Roman" w:eastAsia="Times New Roman" w:hAnsi="Times New Roman" w:cs="Times New Roman"/>
          <w:i/>
          <w:lang w:val="es-AR" w:bidi="es-ES"/>
        </w:rPr>
        <w:t xml:space="preserve"> S.A. Nassau </w:t>
      </w:r>
      <w:proofErr w:type="spellStart"/>
      <w:r w:rsidRPr="006B0565">
        <w:rPr>
          <w:rFonts w:ascii="Times New Roman" w:eastAsia="Times New Roman" w:hAnsi="Times New Roman" w:cs="Times New Roman"/>
          <w:i/>
          <w:lang w:val="es-AR" w:bidi="es-ES"/>
        </w:rPr>
        <w:t>Branch</w:t>
      </w:r>
      <w:proofErr w:type="spellEnd"/>
      <w:r w:rsidRPr="006B0565">
        <w:rPr>
          <w:rFonts w:ascii="Times New Roman" w:eastAsia="Times New Roman" w:hAnsi="Times New Roman" w:cs="Times New Roman"/>
          <w:i/>
          <w:lang w:val="es-AR" w:bidi="es-ES"/>
        </w:rPr>
        <w:t>.</w:t>
      </w:r>
    </w:p>
    <w:p w14:paraId="2AC70631" w14:textId="77777777" w:rsidR="005E0114" w:rsidRPr="006B0565"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i/>
          <w:lang w:val="es-AR" w:bidi="es-ES"/>
        </w:rPr>
      </w:pPr>
    </w:p>
    <w:p w14:paraId="30453FB9" w14:textId="77777777" w:rsidR="005E0114" w:rsidRPr="006B0565"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i/>
          <w:lang w:val="es-MX" w:bidi="es-ES"/>
        </w:rPr>
      </w:pPr>
      <w:r w:rsidRPr="006B0565">
        <w:rPr>
          <w:rFonts w:ascii="Times New Roman" w:eastAsia="Times New Roman" w:hAnsi="Times New Roman" w:cs="Times New Roman"/>
          <w:b/>
          <w:i/>
          <w:lang w:val="es-AR" w:bidi="es-ES"/>
        </w:rPr>
        <w:t>(C)</w:t>
      </w:r>
      <w:r w:rsidRPr="006B0565">
        <w:rPr>
          <w:rFonts w:ascii="Times New Roman" w:eastAsia="Times New Roman" w:hAnsi="Times New Roman" w:cs="Times New Roman"/>
          <w:i/>
          <w:lang w:val="es-MX" w:bidi="es-ES"/>
        </w:rPr>
        <w:t xml:space="preserve"> </w:t>
      </w:r>
      <w:r w:rsidRPr="001168D6">
        <w:rPr>
          <w:rFonts w:ascii="Times New Roman" w:eastAsia="Times New Roman" w:hAnsi="Times New Roman" w:cs="Times New Roman"/>
          <w:i/>
          <w:lang w:val="es-MX" w:bidi="es-ES"/>
        </w:rPr>
        <w:t>que,</w:t>
      </w:r>
      <w:r>
        <w:rPr>
          <w:rFonts w:ascii="Times New Roman" w:eastAsia="Times New Roman" w:hAnsi="Times New Roman" w:cs="Times New Roman"/>
          <w:i/>
          <w:lang w:val="es-MX" w:bidi="es-ES"/>
        </w:rPr>
        <w:t xml:space="preserve"> se instrumente</w:t>
      </w:r>
      <w:r w:rsidRPr="001168D6">
        <w:rPr>
          <w:rFonts w:ascii="Times New Roman" w:eastAsia="Times New Roman" w:hAnsi="Times New Roman" w:cs="Times New Roman"/>
          <w:i/>
          <w:lang w:val="es-MX" w:bidi="es-ES"/>
        </w:rPr>
        <w:t xml:space="preserve"> la terminación del Contrato de Cesión Pasiva, </w:t>
      </w:r>
      <w:r>
        <w:rPr>
          <w:rFonts w:ascii="Times New Roman" w:eastAsia="Times New Roman" w:hAnsi="Times New Roman" w:cs="Times New Roman"/>
          <w:i/>
          <w:lang w:val="es-MX" w:bidi="es-ES"/>
        </w:rPr>
        <w:t xml:space="preserve">y simultáneamente con dicha terminación, </w:t>
      </w:r>
      <w:r w:rsidRPr="001168D6">
        <w:rPr>
          <w:rFonts w:ascii="Times New Roman" w:eastAsia="Times New Roman" w:hAnsi="Times New Roman" w:cs="Times New Roman"/>
          <w:i/>
          <w:lang w:val="es-MX" w:bidi="es-ES"/>
        </w:rPr>
        <w:t>se constituya la Hipoteca Hudson</w:t>
      </w:r>
      <w:r>
        <w:rPr>
          <w:rFonts w:ascii="Times New Roman" w:eastAsia="Times New Roman" w:hAnsi="Times New Roman" w:cs="Times New Roman"/>
          <w:i/>
          <w:lang w:val="es-MX" w:bidi="es-ES"/>
        </w:rPr>
        <w:t xml:space="preserve"> y se otorgue la Garantía del Pago de Capital de Agosto 2022</w:t>
      </w:r>
      <w:r w:rsidRPr="001168D6">
        <w:rPr>
          <w:rFonts w:ascii="Times New Roman" w:eastAsia="Times New Roman" w:hAnsi="Times New Roman" w:cs="Times New Roman"/>
          <w:i/>
          <w:lang w:val="es-MX" w:bidi="es-ES"/>
        </w:rPr>
        <w:t>;</w:t>
      </w:r>
    </w:p>
    <w:p w14:paraId="6BAA5F57" w14:textId="77777777" w:rsidR="005E0114" w:rsidRPr="006B0565"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i/>
          <w:lang w:val="es-MX" w:bidi="es-ES"/>
        </w:rPr>
      </w:pPr>
    </w:p>
    <w:p w14:paraId="02188339" w14:textId="77777777" w:rsidR="005E0114" w:rsidRPr="006B0565" w:rsidRDefault="005E0114" w:rsidP="005E0114">
      <w:pPr>
        <w:pStyle w:val="Prrafodelista"/>
        <w:spacing w:after="0" w:line="240" w:lineRule="auto"/>
        <w:ind w:leftChars="450" w:left="990" w:firstLineChars="0" w:firstLine="1"/>
        <w:contextualSpacing w:val="0"/>
        <w:jc w:val="both"/>
        <w:rPr>
          <w:rFonts w:ascii="Times New Roman" w:eastAsia="Times New Roman" w:hAnsi="Times New Roman" w:cs="Times New Roman"/>
          <w:i/>
          <w:lang w:bidi="es-ES"/>
        </w:rPr>
      </w:pPr>
      <w:r w:rsidRPr="006B0565">
        <w:rPr>
          <w:rFonts w:ascii="Times New Roman" w:eastAsia="Times New Roman" w:hAnsi="Times New Roman" w:cs="Times New Roman"/>
          <w:b/>
          <w:i/>
          <w:lang w:val="es-MX" w:bidi="es-ES"/>
        </w:rPr>
        <w:t xml:space="preserve">(D) </w:t>
      </w:r>
      <w:r w:rsidRPr="006B0565">
        <w:rPr>
          <w:rFonts w:ascii="Times New Roman" w:eastAsia="Times New Roman" w:hAnsi="Times New Roman" w:cs="Times New Roman"/>
          <w:i/>
          <w:lang w:val="es-MX" w:bidi="es-ES"/>
        </w:rPr>
        <w:t xml:space="preserve">que, simultáneamente con la terminación del Contrato de Cesión Pasiva, se celebre una modificación al Fideicomiso Catalinas entre Banco </w:t>
      </w:r>
      <w:proofErr w:type="spellStart"/>
      <w:r w:rsidRPr="006B0565">
        <w:rPr>
          <w:rFonts w:ascii="Times New Roman" w:eastAsia="Times New Roman" w:hAnsi="Times New Roman" w:cs="Times New Roman"/>
          <w:i/>
          <w:lang w:val="es-MX" w:bidi="es-ES"/>
        </w:rPr>
        <w:t>Itaú</w:t>
      </w:r>
      <w:proofErr w:type="spellEnd"/>
      <w:r w:rsidRPr="006B0565">
        <w:rPr>
          <w:rFonts w:ascii="Times New Roman" w:eastAsia="Times New Roman" w:hAnsi="Times New Roman" w:cs="Times New Roman"/>
          <w:i/>
          <w:lang w:val="es-MX" w:bidi="es-ES"/>
        </w:rPr>
        <w:t>,</w:t>
      </w:r>
      <w:r>
        <w:rPr>
          <w:rFonts w:ascii="Times New Roman" w:eastAsia="Times New Roman" w:hAnsi="Times New Roman" w:cs="Times New Roman"/>
          <w:lang w:val="es-MX" w:bidi="es-ES"/>
        </w:rPr>
        <w:t xml:space="preserve"> </w:t>
      </w:r>
      <w:proofErr w:type="spellStart"/>
      <w:r w:rsidRPr="002954C2">
        <w:rPr>
          <w:rFonts w:ascii="Times New Roman" w:eastAsia="Times New Roman" w:hAnsi="Times New Roman" w:cs="Times New Roman"/>
          <w:i/>
          <w:lang w:bidi="es-ES"/>
        </w:rPr>
        <w:t>Itaú</w:t>
      </w:r>
      <w:proofErr w:type="spellEnd"/>
      <w:r w:rsidRPr="002954C2">
        <w:rPr>
          <w:rFonts w:ascii="Times New Roman" w:eastAsia="Times New Roman" w:hAnsi="Times New Roman" w:cs="Times New Roman"/>
          <w:i/>
          <w:lang w:bidi="es-ES"/>
        </w:rPr>
        <w:t xml:space="preserve"> </w:t>
      </w:r>
      <w:proofErr w:type="spellStart"/>
      <w:r w:rsidRPr="002954C2">
        <w:rPr>
          <w:rFonts w:ascii="Times New Roman" w:eastAsia="Times New Roman" w:hAnsi="Times New Roman" w:cs="Times New Roman"/>
          <w:i/>
          <w:lang w:bidi="es-ES"/>
        </w:rPr>
        <w:t>Asset</w:t>
      </w:r>
      <w:proofErr w:type="spellEnd"/>
      <w:r w:rsidRPr="002954C2">
        <w:rPr>
          <w:rFonts w:ascii="Times New Roman" w:eastAsia="Times New Roman" w:hAnsi="Times New Roman" w:cs="Times New Roman"/>
          <w:i/>
          <w:lang w:bidi="es-ES"/>
        </w:rPr>
        <w:t xml:space="preserve"> Management</w:t>
      </w:r>
      <w:r>
        <w:rPr>
          <w:rFonts w:ascii="Times New Roman" w:eastAsia="Times New Roman" w:hAnsi="Times New Roman" w:cs="Times New Roman"/>
          <w:i/>
          <w:lang w:bidi="es-ES"/>
        </w:rPr>
        <w:t xml:space="preserve">, </w:t>
      </w:r>
      <w:r w:rsidRPr="006B0565">
        <w:rPr>
          <w:rFonts w:ascii="Times New Roman" w:eastAsia="Times New Roman" w:hAnsi="Times New Roman" w:cs="Times New Roman"/>
          <w:i/>
          <w:lang w:val="es-MX" w:bidi="es-ES"/>
        </w:rPr>
        <w:t xml:space="preserve">BA </w:t>
      </w:r>
      <w:proofErr w:type="spellStart"/>
      <w:r w:rsidRPr="006B0565">
        <w:rPr>
          <w:rFonts w:ascii="Times New Roman" w:eastAsia="Times New Roman" w:hAnsi="Times New Roman" w:cs="Times New Roman"/>
          <w:i/>
          <w:lang w:val="es-MX" w:bidi="es-ES"/>
        </w:rPr>
        <w:t>Development</w:t>
      </w:r>
      <w:proofErr w:type="spellEnd"/>
      <w:r w:rsidRPr="006B0565">
        <w:rPr>
          <w:rFonts w:ascii="Times New Roman" w:eastAsia="Times New Roman" w:hAnsi="Times New Roman" w:cs="Times New Roman"/>
          <w:i/>
          <w:lang w:val="es-MX" w:bidi="es-ES"/>
        </w:rPr>
        <w:t xml:space="preserve"> II </w:t>
      </w:r>
      <w:proofErr w:type="spellStart"/>
      <w:r w:rsidRPr="006B0565">
        <w:rPr>
          <w:rFonts w:ascii="Times New Roman" w:eastAsia="Times New Roman" w:hAnsi="Times New Roman" w:cs="Times New Roman"/>
          <w:i/>
          <w:lang w:val="es-MX" w:bidi="es-ES"/>
        </w:rPr>
        <w:t>GmbH</w:t>
      </w:r>
      <w:proofErr w:type="spellEnd"/>
      <w:r w:rsidRPr="006B0565">
        <w:rPr>
          <w:rFonts w:ascii="Times New Roman" w:eastAsia="Times New Roman" w:hAnsi="Times New Roman" w:cs="Times New Roman"/>
          <w:i/>
          <w:lang w:val="es-MX" w:bidi="es-ES"/>
        </w:rPr>
        <w:t xml:space="preserve"> y </w:t>
      </w:r>
      <w:proofErr w:type="spellStart"/>
      <w:r w:rsidRPr="006B0565">
        <w:rPr>
          <w:rFonts w:ascii="Times New Roman" w:eastAsia="Times New Roman" w:hAnsi="Times New Roman" w:cs="Times New Roman"/>
          <w:i/>
          <w:lang w:val="es-MX" w:bidi="es-ES"/>
        </w:rPr>
        <w:t>Allaria</w:t>
      </w:r>
      <w:proofErr w:type="spellEnd"/>
      <w:r w:rsidRPr="006B0565">
        <w:rPr>
          <w:rFonts w:ascii="Times New Roman" w:eastAsia="Times New Roman" w:hAnsi="Times New Roman" w:cs="Times New Roman"/>
          <w:i/>
          <w:lang w:val="es-MX" w:bidi="es-ES"/>
        </w:rPr>
        <w:t xml:space="preserve"> Ledesma Fiduciaria S.A., en su carácter de fiduciario financiero, a fin de posibilitar la participación de Banco </w:t>
      </w:r>
      <w:proofErr w:type="spellStart"/>
      <w:r w:rsidRPr="006B0565">
        <w:rPr>
          <w:rFonts w:ascii="Times New Roman" w:eastAsia="Times New Roman" w:hAnsi="Times New Roman" w:cs="Times New Roman"/>
          <w:i/>
          <w:lang w:val="es-MX" w:bidi="es-ES"/>
        </w:rPr>
        <w:t>Itaú</w:t>
      </w:r>
      <w:proofErr w:type="spellEnd"/>
      <w:r w:rsidRPr="006B0565">
        <w:rPr>
          <w:rFonts w:ascii="Times New Roman" w:eastAsia="Times New Roman" w:hAnsi="Times New Roman" w:cs="Times New Roman"/>
          <w:i/>
          <w:lang w:val="es-MX" w:bidi="es-ES"/>
        </w:rPr>
        <w:t xml:space="preserve"> </w:t>
      </w:r>
      <w:r>
        <w:rPr>
          <w:rFonts w:ascii="Times New Roman" w:eastAsia="Times New Roman" w:hAnsi="Times New Roman" w:cs="Times New Roman"/>
          <w:i/>
          <w:lang w:val="es-MX" w:bidi="es-ES"/>
        </w:rPr>
        <w:t xml:space="preserve">e </w:t>
      </w:r>
      <w:proofErr w:type="spellStart"/>
      <w:r w:rsidRPr="002954C2">
        <w:rPr>
          <w:rFonts w:ascii="Times New Roman" w:eastAsia="Times New Roman" w:hAnsi="Times New Roman" w:cs="Times New Roman"/>
          <w:i/>
          <w:lang w:bidi="es-ES"/>
        </w:rPr>
        <w:t>Itaú</w:t>
      </w:r>
      <w:proofErr w:type="spellEnd"/>
      <w:r w:rsidRPr="002954C2">
        <w:rPr>
          <w:rFonts w:ascii="Times New Roman" w:eastAsia="Times New Roman" w:hAnsi="Times New Roman" w:cs="Times New Roman"/>
          <w:i/>
          <w:lang w:bidi="es-ES"/>
        </w:rPr>
        <w:t xml:space="preserve"> </w:t>
      </w:r>
      <w:proofErr w:type="spellStart"/>
      <w:r w:rsidRPr="002954C2">
        <w:rPr>
          <w:rFonts w:ascii="Times New Roman" w:eastAsia="Times New Roman" w:hAnsi="Times New Roman" w:cs="Times New Roman"/>
          <w:i/>
          <w:lang w:bidi="es-ES"/>
        </w:rPr>
        <w:t>Asset</w:t>
      </w:r>
      <w:proofErr w:type="spellEnd"/>
      <w:r w:rsidRPr="002954C2">
        <w:rPr>
          <w:rFonts w:ascii="Times New Roman" w:eastAsia="Times New Roman" w:hAnsi="Times New Roman" w:cs="Times New Roman"/>
          <w:i/>
          <w:lang w:bidi="es-ES"/>
        </w:rPr>
        <w:t xml:space="preserve"> Manag</w:t>
      </w:r>
      <w:r>
        <w:rPr>
          <w:rFonts w:ascii="Times New Roman" w:eastAsia="Times New Roman" w:hAnsi="Times New Roman" w:cs="Times New Roman"/>
          <w:i/>
          <w:lang w:bidi="es-ES"/>
        </w:rPr>
        <w:t>e</w:t>
      </w:r>
      <w:r w:rsidRPr="002954C2">
        <w:rPr>
          <w:rFonts w:ascii="Times New Roman" w:eastAsia="Times New Roman" w:hAnsi="Times New Roman" w:cs="Times New Roman"/>
          <w:i/>
          <w:lang w:bidi="es-ES"/>
        </w:rPr>
        <w:t>ment</w:t>
      </w:r>
      <w:r w:rsidRPr="006B0565">
        <w:rPr>
          <w:rFonts w:ascii="Times New Roman" w:eastAsia="Times New Roman" w:hAnsi="Times New Roman" w:cs="Times New Roman"/>
          <w:i/>
          <w:lang w:val="es-MX" w:bidi="es-ES"/>
        </w:rPr>
        <w:t xml:space="preserve"> como continuador</w:t>
      </w:r>
      <w:r>
        <w:rPr>
          <w:rFonts w:ascii="Times New Roman" w:eastAsia="Times New Roman" w:hAnsi="Times New Roman" w:cs="Times New Roman"/>
          <w:i/>
          <w:lang w:val="es-MX" w:bidi="es-ES"/>
        </w:rPr>
        <w:t>es</w:t>
      </w:r>
      <w:r w:rsidRPr="006B0565">
        <w:rPr>
          <w:rFonts w:ascii="Times New Roman" w:eastAsia="Times New Roman" w:hAnsi="Times New Roman" w:cs="Times New Roman"/>
          <w:i/>
          <w:lang w:val="es-MX" w:bidi="es-ES"/>
        </w:rPr>
        <w:t xml:space="preserve"> en la titularidad de la Participación Catalinas (el acuerdo con Banco </w:t>
      </w:r>
      <w:proofErr w:type="spellStart"/>
      <w:r w:rsidRPr="006B0565">
        <w:rPr>
          <w:rFonts w:ascii="Times New Roman" w:eastAsia="Times New Roman" w:hAnsi="Times New Roman" w:cs="Times New Roman"/>
          <w:i/>
          <w:lang w:val="es-MX" w:bidi="es-ES"/>
        </w:rPr>
        <w:t>Itaú</w:t>
      </w:r>
      <w:proofErr w:type="spellEnd"/>
      <w:r w:rsidRPr="006B0565">
        <w:rPr>
          <w:rFonts w:ascii="Times New Roman" w:eastAsia="Times New Roman" w:hAnsi="Times New Roman" w:cs="Times New Roman"/>
          <w:i/>
          <w:lang w:val="es-MX" w:bidi="es-ES"/>
        </w:rPr>
        <w:t xml:space="preserve"> </w:t>
      </w:r>
      <w:r>
        <w:rPr>
          <w:rFonts w:ascii="Times New Roman" w:eastAsia="Times New Roman" w:hAnsi="Times New Roman" w:cs="Times New Roman"/>
          <w:i/>
          <w:lang w:val="es-MX" w:bidi="es-ES"/>
        </w:rPr>
        <w:t xml:space="preserve">e </w:t>
      </w:r>
      <w:proofErr w:type="spellStart"/>
      <w:r w:rsidRPr="002954C2">
        <w:rPr>
          <w:rFonts w:ascii="Times New Roman" w:eastAsia="Times New Roman" w:hAnsi="Times New Roman" w:cs="Times New Roman"/>
          <w:i/>
          <w:lang w:bidi="es-ES"/>
        </w:rPr>
        <w:t>Itaú</w:t>
      </w:r>
      <w:proofErr w:type="spellEnd"/>
      <w:r w:rsidRPr="002954C2">
        <w:rPr>
          <w:rFonts w:ascii="Times New Roman" w:eastAsia="Times New Roman" w:hAnsi="Times New Roman" w:cs="Times New Roman"/>
          <w:i/>
          <w:lang w:bidi="es-ES"/>
        </w:rPr>
        <w:t xml:space="preserve"> </w:t>
      </w:r>
      <w:proofErr w:type="spellStart"/>
      <w:r w:rsidRPr="002954C2">
        <w:rPr>
          <w:rFonts w:ascii="Times New Roman" w:eastAsia="Times New Roman" w:hAnsi="Times New Roman" w:cs="Times New Roman"/>
          <w:i/>
          <w:lang w:bidi="es-ES"/>
        </w:rPr>
        <w:t>Asset</w:t>
      </w:r>
      <w:proofErr w:type="spellEnd"/>
      <w:r w:rsidRPr="002954C2">
        <w:rPr>
          <w:rFonts w:ascii="Times New Roman" w:eastAsia="Times New Roman" w:hAnsi="Times New Roman" w:cs="Times New Roman"/>
          <w:i/>
          <w:lang w:bidi="es-ES"/>
        </w:rPr>
        <w:t xml:space="preserve"> Manag</w:t>
      </w:r>
      <w:r>
        <w:rPr>
          <w:rFonts w:ascii="Times New Roman" w:eastAsia="Times New Roman" w:hAnsi="Times New Roman" w:cs="Times New Roman"/>
          <w:i/>
          <w:lang w:bidi="es-ES"/>
        </w:rPr>
        <w:t>e</w:t>
      </w:r>
      <w:r w:rsidRPr="002954C2">
        <w:rPr>
          <w:rFonts w:ascii="Times New Roman" w:eastAsia="Times New Roman" w:hAnsi="Times New Roman" w:cs="Times New Roman"/>
          <w:i/>
          <w:lang w:bidi="es-ES"/>
        </w:rPr>
        <w:t>ment</w:t>
      </w:r>
      <w:r w:rsidRPr="006B0565">
        <w:rPr>
          <w:rFonts w:ascii="Times New Roman" w:eastAsia="Times New Roman" w:hAnsi="Times New Roman" w:cs="Times New Roman"/>
          <w:i/>
          <w:lang w:val="es-MX" w:bidi="es-ES"/>
        </w:rPr>
        <w:t xml:space="preserve"> incluyendo todas las condiciones enumeradas en el presente apartado, el “</w:t>
      </w:r>
      <w:r w:rsidRPr="006B0565">
        <w:rPr>
          <w:rFonts w:ascii="Times New Roman" w:eastAsia="Times New Roman" w:hAnsi="Times New Roman" w:cs="Times New Roman"/>
          <w:i/>
          <w:u w:val="single"/>
          <w:lang w:val="es-MX" w:bidi="es-ES"/>
        </w:rPr>
        <w:t xml:space="preserve">Acuerdo con </w:t>
      </w:r>
      <w:proofErr w:type="spellStart"/>
      <w:r w:rsidRPr="006B0565">
        <w:rPr>
          <w:rFonts w:ascii="Times New Roman" w:eastAsia="Times New Roman" w:hAnsi="Times New Roman" w:cs="Times New Roman"/>
          <w:i/>
          <w:u w:val="single"/>
          <w:lang w:val="es-MX" w:bidi="es-ES"/>
        </w:rPr>
        <w:t>Itaú</w:t>
      </w:r>
      <w:proofErr w:type="spellEnd"/>
      <w:r w:rsidRPr="006B0565">
        <w:rPr>
          <w:rFonts w:ascii="Times New Roman" w:eastAsia="Times New Roman" w:hAnsi="Times New Roman" w:cs="Times New Roman"/>
          <w:i/>
          <w:u w:val="single"/>
          <w:lang w:val="es-MX" w:bidi="es-ES"/>
        </w:rPr>
        <w:t xml:space="preserve"> sobre la Participación en Catalinas</w:t>
      </w:r>
      <w:r w:rsidRPr="006B0565">
        <w:rPr>
          <w:rFonts w:ascii="Times New Roman" w:eastAsia="Times New Roman" w:hAnsi="Times New Roman" w:cs="Times New Roman"/>
          <w:i/>
          <w:lang w:val="es-MX" w:bidi="es-ES"/>
        </w:rPr>
        <w:t xml:space="preserve">”). </w:t>
      </w:r>
    </w:p>
    <w:p w14:paraId="016EC381" w14:textId="77777777" w:rsidR="005E0114" w:rsidRPr="007730D8" w:rsidRDefault="005E0114" w:rsidP="005E0114">
      <w:pPr>
        <w:spacing w:after="0" w:line="240" w:lineRule="auto"/>
        <w:ind w:leftChars="0" w:left="0" w:firstLineChars="0" w:firstLine="0"/>
        <w:jc w:val="both"/>
        <w:rPr>
          <w:rFonts w:ascii="Times New Roman" w:eastAsia="Times New Roman" w:hAnsi="Times New Roman" w:cs="Times New Roman"/>
          <w:u w:val="single"/>
          <w:lang w:bidi="es-ES"/>
        </w:rPr>
      </w:pPr>
    </w:p>
    <w:p w14:paraId="114EDC46" w14:textId="77777777" w:rsidR="005E0114" w:rsidRPr="00D60D4C" w:rsidRDefault="005E0114" w:rsidP="005E0114">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i/>
          <w:u w:val="single"/>
          <w:lang w:bidi="es-ES"/>
        </w:rPr>
      </w:pPr>
      <w:r>
        <w:rPr>
          <w:rFonts w:ascii="Times New Roman" w:eastAsia="Times New Roman" w:hAnsi="Times New Roman" w:cs="Times New Roman"/>
          <w:lang w:bidi="es-ES"/>
        </w:rPr>
        <w:t xml:space="preserve">En caso </w:t>
      </w:r>
      <w:r w:rsidRPr="009E711B">
        <w:rPr>
          <w:rFonts w:ascii="Times New Roman" w:eastAsia="Times New Roman" w:hAnsi="Times New Roman" w:cs="Times New Roman"/>
          <w:lang w:bidi="es-ES"/>
        </w:rPr>
        <w:t>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a fin de suprimir las referencias a la </w:t>
      </w:r>
      <w:r>
        <w:rPr>
          <w:rFonts w:ascii="Times New Roman" w:eastAsia="Times New Roman" w:hAnsi="Times New Roman" w:cs="Times New Roman"/>
          <w:lang w:bidi="es-ES"/>
        </w:rPr>
        <w:t>“</w:t>
      </w:r>
      <w:r w:rsidRPr="006B0565">
        <w:rPr>
          <w:rFonts w:ascii="Times New Roman" w:eastAsia="Times New Roman" w:hAnsi="Times New Roman" w:cs="Times New Roman"/>
          <w:i/>
          <w:lang w:bidi="es-ES"/>
        </w:rPr>
        <w:t>Prenda</w:t>
      </w:r>
      <w:r>
        <w:rPr>
          <w:rFonts w:ascii="Times New Roman" w:eastAsia="Times New Roman" w:hAnsi="Times New Roman" w:cs="Times New Roman"/>
          <w:lang w:bidi="es-ES"/>
        </w:rPr>
        <w:t xml:space="preserve">” </w:t>
      </w:r>
      <w:r>
        <w:rPr>
          <w:rFonts w:ascii="Times New Roman" w:eastAsia="Times New Roman" w:hAnsi="Times New Roman" w:cs="Times New Roman"/>
          <w:lang w:val="es-MX" w:bidi="es-ES"/>
        </w:rPr>
        <w:t>del apartado “</w:t>
      </w:r>
      <w:r w:rsidRPr="00434311">
        <w:rPr>
          <w:rFonts w:ascii="Times New Roman" w:eastAsia="Times New Roman" w:hAnsi="Times New Roman" w:cs="Times New Roman"/>
          <w:i/>
          <w:lang w:val="es-MX" w:bidi="es-ES"/>
        </w:rPr>
        <w:t>(VII</w:t>
      </w:r>
      <w:r>
        <w:rPr>
          <w:rFonts w:ascii="Times New Roman" w:eastAsia="Times New Roman" w:hAnsi="Times New Roman" w:cs="Times New Roman"/>
          <w:i/>
          <w:lang w:val="es-MX" w:bidi="es-ES"/>
        </w:rPr>
        <w:t>I</w:t>
      </w:r>
      <w:r w:rsidRPr="00434311">
        <w:rPr>
          <w:rFonts w:ascii="Times New Roman" w:eastAsia="Times New Roman" w:hAnsi="Times New Roman" w:cs="Times New Roman"/>
          <w:i/>
          <w:lang w:val="es-MX" w:bidi="es-ES"/>
        </w:rPr>
        <w:t xml:space="preserve">) </w:t>
      </w:r>
      <w:r w:rsidRPr="00434311">
        <w:rPr>
          <w:rFonts w:ascii="Times New Roman" w:eastAsia="Times New Roman" w:hAnsi="Times New Roman" w:cs="Times New Roman"/>
          <w:i/>
          <w:lang w:bidi="es-ES"/>
        </w:rPr>
        <w:t>Derecho de la Sociedad de vender la Participación en Catalinas</w:t>
      </w:r>
      <w:r>
        <w:rPr>
          <w:rFonts w:ascii="Times New Roman" w:eastAsia="Times New Roman" w:hAnsi="Times New Roman" w:cs="Times New Roman"/>
          <w:i/>
          <w:lang w:bidi="es-ES"/>
        </w:rPr>
        <w:t xml:space="preserve">” </w:t>
      </w:r>
      <w:r>
        <w:rPr>
          <w:rFonts w:ascii="Times New Roman" w:eastAsia="Times New Roman" w:hAnsi="Times New Roman" w:cs="Times New Roman"/>
          <w:lang w:bidi="es-ES"/>
        </w:rPr>
        <w:t xml:space="preserve">de la Tercer Adenda, </w:t>
      </w:r>
      <w:r>
        <w:rPr>
          <w:rFonts w:ascii="Times New Roman" w:eastAsia="Times New Roman" w:hAnsi="Times New Roman" w:cs="Times New Roman"/>
          <w:lang w:val="es-AR" w:bidi="es-ES"/>
        </w:rPr>
        <w:t xml:space="preserve">se reemplazará </w:t>
      </w:r>
      <w:r>
        <w:rPr>
          <w:rFonts w:ascii="Times New Roman" w:eastAsia="Times New Roman" w:hAnsi="Times New Roman" w:cs="Times New Roman"/>
          <w:lang w:bidi="es-ES"/>
        </w:rPr>
        <w:t>dicho apartado en su totalidad de modo tal que quede redactado de la siguiente manera:</w:t>
      </w:r>
    </w:p>
    <w:p w14:paraId="19651A94" w14:textId="77777777" w:rsidR="005E0114" w:rsidRDefault="005E0114" w:rsidP="005E0114">
      <w:pPr>
        <w:pStyle w:val="Prrafodelista"/>
        <w:spacing w:after="0" w:line="240" w:lineRule="auto"/>
        <w:ind w:leftChars="0" w:left="993" w:firstLineChars="0" w:firstLine="0"/>
        <w:jc w:val="both"/>
        <w:rPr>
          <w:rFonts w:ascii="Times New Roman" w:eastAsia="Times New Roman" w:hAnsi="Times New Roman" w:cs="Times New Roman"/>
          <w:lang w:val="es-MX" w:bidi="es-ES"/>
        </w:rPr>
      </w:pPr>
    </w:p>
    <w:p w14:paraId="56B96C79" w14:textId="77777777" w:rsidR="005E0114" w:rsidRPr="00434311" w:rsidRDefault="005E0114" w:rsidP="005E0114">
      <w:pPr>
        <w:spacing w:after="0" w:line="240" w:lineRule="auto"/>
        <w:ind w:leftChars="450" w:left="992" w:hanging="2"/>
        <w:jc w:val="both"/>
        <w:rPr>
          <w:rFonts w:ascii="Times New Roman" w:hAnsi="Times New Roman" w:cs="Times New Roman"/>
          <w:i/>
          <w:lang w:val="es-MX" w:bidi="es-ES"/>
        </w:rPr>
      </w:pPr>
      <w:r w:rsidRPr="00434311">
        <w:rPr>
          <w:rFonts w:ascii="Times New Roman" w:hAnsi="Times New Roman" w:cs="Times New Roman"/>
          <w:i/>
          <w:lang w:val="es-MX" w:bidi="es-ES"/>
        </w:rPr>
        <w:t xml:space="preserve">La Sociedad tendrá el derecho, siempre que no se hubiera concretado el Acuerdo con </w:t>
      </w:r>
      <w:proofErr w:type="spellStart"/>
      <w:r w:rsidRPr="00434311">
        <w:rPr>
          <w:rFonts w:ascii="Times New Roman" w:hAnsi="Times New Roman" w:cs="Times New Roman"/>
          <w:i/>
          <w:lang w:val="es-MX" w:bidi="es-ES"/>
        </w:rPr>
        <w:t>Itaú</w:t>
      </w:r>
      <w:proofErr w:type="spellEnd"/>
      <w:r w:rsidRPr="00434311">
        <w:rPr>
          <w:rFonts w:ascii="Times New Roman" w:hAnsi="Times New Roman" w:cs="Times New Roman"/>
          <w:i/>
          <w:lang w:val="es-MX" w:bidi="es-ES"/>
        </w:rPr>
        <w:t xml:space="preserve"> sobre la Participación en Catalinas de (i) vender la Participación en Catalinas a un tercero que no tenga vinculación con Banco </w:t>
      </w:r>
      <w:proofErr w:type="spellStart"/>
      <w:r w:rsidRPr="00434311">
        <w:rPr>
          <w:rFonts w:ascii="Times New Roman" w:hAnsi="Times New Roman" w:cs="Times New Roman"/>
          <w:i/>
          <w:lang w:val="es-MX" w:bidi="es-ES"/>
        </w:rPr>
        <w:t>Itaú</w:t>
      </w:r>
      <w:proofErr w:type="spellEnd"/>
      <w:r w:rsidRPr="00434311">
        <w:rPr>
          <w:rFonts w:ascii="Times New Roman" w:hAnsi="Times New Roman" w:cs="Times New Roman"/>
          <w:i/>
          <w:lang w:val="es-MX" w:bidi="es-ES"/>
        </w:rPr>
        <w:t xml:space="preserve"> ni esté financiado por Banco </w:t>
      </w:r>
      <w:proofErr w:type="spellStart"/>
      <w:r w:rsidRPr="00434311">
        <w:rPr>
          <w:rFonts w:ascii="Times New Roman" w:hAnsi="Times New Roman" w:cs="Times New Roman"/>
          <w:i/>
          <w:lang w:val="es-MX" w:bidi="es-ES"/>
        </w:rPr>
        <w:t>Itaú</w:t>
      </w:r>
      <w:proofErr w:type="spellEnd"/>
      <w:r w:rsidRPr="00434311">
        <w:rPr>
          <w:rFonts w:ascii="Times New Roman" w:hAnsi="Times New Roman" w:cs="Times New Roman"/>
          <w:i/>
          <w:lang w:val="es-MX" w:bidi="es-ES"/>
        </w:rPr>
        <w:t xml:space="preserve"> </w:t>
      </w:r>
      <w:r w:rsidRPr="002107D9">
        <w:rPr>
          <w:rFonts w:ascii="Times New Roman" w:hAnsi="Times New Roman" w:cs="Times New Roman"/>
          <w:i/>
          <w:lang w:val="es-MX" w:bidi="es-ES"/>
        </w:rPr>
        <w:t>antes del 1º de agosto de 2022</w:t>
      </w:r>
      <w:r w:rsidRPr="0076178B">
        <w:rPr>
          <w:rFonts w:ascii="Times New Roman" w:hAnsi="Times New Roman" w:cs="Times New Roman"/>
          <w:i/>
          <w:lang w:val="es-MX" w:bidi="es-ES"/>
        </w:rPr>
        <w:t xml:space="preserve"> </w:t>
      </w:r>
      <w:r w:rsidRPr="00434311">
        <w:rPr>
          <w:rFonts w:ascii="Times New Roman" w:hAnsi="Times New Roman" w:cs="Times New Roman"/>
          <w:i/>
          <w:lang w:val="es-MX" w:bidi="es-ES"/>
        </w:rPr>
        <w:t>(esa venta, la “</w:t>
      </w:r>
      <w:r w:rsidRPr="00434311">
        <w:rPr>
          <w:rFonts w:ascii="Times New Roman" w:hAnsi="Times New Roman" w:cs="Times New Roman"/>
          <w:i/>
          <w:u w:val="single"/>
          <w:lang w:val="es-MX" w:bidi="es-ES"/>
        </w:rPr>
        <w:t>Venta de la Participación en Catalinas a un Tercero</w:t>
      </w:r>
      <w:r w:rsidRPr="00434311">
        <w:rPr>
          <w:rFonts w:ascii="Times New Roman" w:hAnsi="Times New Roman" w:cs="Times New Roman"/>
          <w:i/>
          <w:lang w:val="es-MX" w:bidi="es-ES"/>
        </w:rPr>
        <w:t xml:space="preserve">”); y (ii) celebrar </w:t>
      </w:r>
      <w:r w:rsidRPr="00434311">
        <w:rPr>
          <w:rFonts w:ascii="Times New Roman" w:eastAsia="Times New Roman" w:hAnsi="Times New Roman" w:cs="Times New Roman"/>
          <w:i/>
        </w:rPr>
        <w:t xml:space="preserve">un acuerdo de terminación del Contrato de Cesión Pasiva </w:t>
      </w:r>
      <w:r w:rsidRPr="00434311">
        <w:rPr>
          <w:rFonts w:ascii="Times New Roman" w:hAnsi="Times New Roman" w:cs="Times New Roman"/>
          <w:i/>
          <w:lang w:val="es-MX" w:bidi="es-ES"/>
        </w:rPr>
        <w:t>previo cumplimiento de lo establecido en el final de este párrafo pero sin necesidad de consentimiento adicional por parte de los Tenedores si ocurre la Venta de la Participación en Catalinas a un Tercero. En este supuesto, serán de aplicación para las Obligaciones Negociables</w:t>
      </w:r>
      <w:r>
        <w:rPr>
          <w:rFonts w:ascii="Times New Roman" w:hAnsi="Times New Roman" w:cs="Times New Roman"/>
          <w:i/>
          <w:lang w:val="es-MX" w:bidi="es-ES"/>
        </w:rPr>
        <w:t xml:space="preserve"> los T&amp;C Básicos</w:t>
      </w:r>
      <w:r w:rsidRPr="00434311">
        <w:rPr>
          <w:rFonts w:ascii="Times New Roman" w:hAnsi="Times New Roman" w:cs="Times New Roman"/>
          <w:i/>
          <w:lang w:val="es-MX" w:bidi="es-ES"/>
        </w:rPr>
        <w:t xml:space="preserve">. En este caso además, simultáneamente con la </w:t>
      </w:r>
      <w:r>
        <w:rPr>
          <w:rFonts w:ascii="Times New Roman" w:hAnsi="Times New Roman" w:cs="Times New Roman"/>
          <w:i/>
          <w:lang w:val="es-MX" w:bidi="es-ES"/>
        </w:rPr>
        <w:t>V</w:t>
      </w:r>
      <w:r w:rsidRPr="00434311">
        <w:rPr>
          <w:rFonts w:ascii="Times New Roman" w:hAnsi="Times New Roman" w:cs="Times New Roman"/>
          <w:i/>
          <w:lang w:val="es-MX" w:bidi="es-ES"/>
        </w:rPr>
        <w:t xml:space="preserve">enta de la Participación en Catalinas y con la </w:t>
      </w:r>
      <w:r>
        <w:rPr>
          <w:rFonts w:ascii="Times New Roman" w:hAnsi="Times New Roman" w:cs="Times New Roman"/>
          <w:i/>
          <w:lang w:val="es-MX" w:bidi="es-ES"/>
        </w:rPr>
        <w:t>terminación del Contrato de Cesión Pasiva</w:t>
      </w:r>
      <w:r w:rsidRPr="00434311">
        <w:rPr>
          <w:rFonts w:ascii="Times New Roman" w:hAnsi="Times New Roman" w:cs="Times New Roman"/>
          <w:i/>
          <w:lang w:val="es-MX" w:bidi="es-ES"/>
        </w:rPr>
        <w:t>, la Sociedad deberá constituir en favor de los Tenedores y en garantía</w:t>
      </w:r>
      <w:r>
        <w:rPr>
          <w:rFonts w:ascii="Times New Roman" w:hAnsi="Times New Roman" w:cs="Times New Roman"/>
          <w:i/>
          <w:lang w:val="es-MX" w:bidi="es-ES"/>
        </w:rPr>
        <w:t xml:space="preserve"> </w:t>
      </w:r>
      <w:r w:rsidRPr="00434311">
        <w:rPr>
          <w:rFonts w:ascii="Times New Roman" w:hAnsi="Times New Roman" w:cs="Times New Roman"/>
          <w:i/>
          <w:lang w:val="es-MX" w:bidi="es-ES"/>
        </w:rPr>
        <w:t>de las cuotas de amortización a vencer hasta la cancelación total de las Obligaciones Negociables en las fechas previstas en los T&amp;C Básicos</w:t>
      </w:r>
      <w:r>
        <w:rPr>
          <w:rFonts w:ascii="Times New Roman" w:hAnsi="Times New Roman" w:cs="Times New Roman"/>
          <w:i/>
          <w:lang w:val="es-MX" w:bidi="es-ES"/>
        </w:rPr>
        <w:t xml:space="preserve"> y </w:t>
      </w:r>
      <w:r w:rsidRPr="002240E1">
        <w:rPr>
          <w:rFonts w:ascii="Times New Roman" w:hAnsi="Times New Roman" w:cs="Times New Roman"/>
          <w:i/>
          <w:lang w:val="es-MX" w:bidi="es-ES"/>
        </w:rPr>
        <w:t xml:space="preserve">en términos a satisfacción </w:t>
      </w:r>
      <w:r>
        <w:rPr>
          <w:rFonts w:ascii="Times New Roman" w:hAnsi="Times New Roman" w:cs="Times New Roman"/>
          <w:i/>
          <w:lang w:val="es-MX" w:bidi="es-ES"/>
        </w:rPr>
        <w:t xml:space="preserve">razonable </w:t>
      </w:r>
      <w:r w:rsidRPr="002240E1">
        <w:rPr>
          <w:rFonts w:ascii="Times New Roman" w:hAnsi="Times New Roman" w:cs="Times New Roman"/>
          <w:i/>
          <w:lang w:val="es-MX" w:bidi="es-ES"/>
        </w:rPr>
        <w:t>de los Tenedores</w:t>
      </w:r>
      <w:r w:rsidRPr="00434311">
        <w:rPr>
          <w:rFonts w:ascii="Times New Roman" w:hAnsi="Times New Roman" w:cs="Times New Roman"/>
          <w:i/>
          <w:lang w:val="es-MX" w:bidi="es-ES"/>
        </w:rPr>
        <w:t>, un depósito de garantía o fideicomiso de dinero u obtener una fianza bancaria a primera demanda o una carta de crédito stand-</w:t>
      </w:r>
      <w:proofErr w:type="spellStart"/>
      <w:r w:rsidRPr="00434311">
        <w:rPr>
          <w:rFonts w:ascii="Times New Roman" w:hAnsi="Times New Roman" w:cs="Times New Roman"/>
          <w:i/>
          <w:lang w:val="es-MX" w:bidi="es-ES"/>
        </w:rPr>
        <w:t>by</w:t>
      </w:r>
      <w:proofErr w:type="spellEnd"/>
      <w:r w:rsidRPr="00434311">
        <w:rPr>
          <w:rFonts w:ascii="Times New Roman" w:hAnsi="Times New Roman" w:cs="Times New Roman"/>
          <w:i/>
          <w:lang w:val="es-MX" w:bidi="es-ES"/>
        </w:rPr>
        <w:t xml:space="preserve"> de un banco de primera línea por un importe suficiente para efectuar el pago de esas amortizaciones. Este depósito de garantía, fideicomiso de dinero, fianza bancaria a primera demanda o carta de crédito stand-</w:t>
      </w:r>
      <w:proofErr w:type="spellStart"/>
      <w:r w:rsidRPr="00434311">
        <w:rPr>
          <w:rFonts w:ascii="Times New Roman" w:hAnsi="Times New Roman" w:cs="Times New Roman"/>
          <w:i/>
          <w:lang w:val="es-MX" w:bidi="es-ES"/>
        </w:rPr>
        <w:t>by</w:t>
      </w:r>
      <w:proofErr w:type="spellEnd"/>
      <w:r w:rsidRPr="00434311">
        <w:rPr>
          <w:rFonts w:ascii="Times New Roman" w:hAnsi="Times New Roman" w:cs="Times New Roman"/>
          <w:i/>
          <w:lang w:val="es-MX" w:bidi="es-ES"/>
        </w:rPr>
        <w:t xml:space="preserve"> de un banco de primera línea, podrá estar constituido o pactado para ser pagado, según corresponda, fuera de la República en dólares estadounidenses o dentro de la República en pesos, pero en este último caso, solo se considerará importe suficiente, al monto nominal adeudado multiplicado por un coeficiente de 1,30 o si se tratare de instrumentos dólar </w:t>
      </w:r>
      <w:proofErr w:type="spellStart"/>
      <w:r w:rsidRPr="00434311">
        <w:rPr>
          <w:rFonts w:ascii="Times New Roman" w:hAnsi="Times New Roman" w:cs="Times New Roman"/>
          <w:i/>
          <w:lang w:val="es-MX" w:bidi="es-ES"/>
        </w:rPr>
        <w:t>linked</w:t>
      </w:r>
      <w:proofErr w:type="spellEnd"/>
      <w:r w:rsidRPr="00434311">
        <w:rPr>
          <w:rFonts w:ascii="Times New Roman" w:hAnsi="Times New Roman" w:cs="Times New Roman"/>
          <w:i/>
          <w:lang w:val="es-MX" w:bidi="es-ES"/>
        </w:rPr>
        <w:t xml:space="preserve"> el coeficiente será de 1,10.</w:t>
      </w:r>
    </w:p>
    <w:p w14:paraId="22833FA6" w14:textId="77777777" w:rsidR="005E0114" w:rsidRPr="004B1607" w:rsidRDefault="005E0114" w:rsidP="005E0114">
      <w:pPr>
        <w:pStyle w:val="Prrafodelista"/>
        <w:spacing w:after="0" w:line="240" w:lineRule="auto"/>
        <w:ind w:leftChars="0" w:left="0" w:firstLineChars="0" w:firstLine="0"/>
        <w:jc w:val="both"/>
        <w:rPr>
          <w:rFonts w:ascii="Times New Roman" w:eastAsia="Times New Roman" w:hAnsi="Times New Roman" w:cs="Times New Roman"/>
          <w:lang w:bidi="es-ES"/>
        </w:rPr>
      </w:pPr>
    </w:p>
    <w:p w14:paraId="202D7941" w14:textId="77777777" w:rsidR="005E0114" w:rsidRDefault="005E0114" w:rsidP="005E0114">
      <w:pPr>
        <w:pStyle w:val="Prrafodelista"/>
        <w:numPr>
          <w:ilvl w:val="0"/>
          <w:numId w:val="18"/>
        </w:numPr>
        <w:spacing w:after="0" w:line="240" w:lineRule="auto"/>
        <w:ind w:leftChars="0" w:left="993" w:firstLineChars="0" w:hanging="567"/>
        <w:jc w:val="both"/>
        <w:rPr>
          <w:rFonts w:ascii="Times New Roman" w:eastAsia="Times New Roman" w:hAnsi="Times New Roman" w:cs="Times New Roman"/>
          <w:lang w:bidi="es-ES"/>
        </w:rPr>
      </w:pPr>
      <w:r w:rsidRPr="009E711B">
        <w:rPr>
          <w:rFonts w:ascii="Times New Roman" w:eastAsia="Times New Roman" w:hAnsi="Times New Roman" w:cs="Times New Roman"/>
          <w:lang w:bidi="es-ES"/>
        </w:rPr>
        <w:t>En caso de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w:t>
      </w:r>
      <w:r>
        <w:rPr>
          <w:rFonts w:ascii="Times New Roman" w:eastAsia="Times New Roman" w:hAnsi="Times New Roman" w:cs="Times New Roman"/>
          <w:lang w:bidi="es-ES"/>
        </w:rPr>
        <w:t>reemplazar la definición de “</w:t>
      </w:r>
      <w:r w:rsidRPr="00AB045F">
        <w:rPr>
          <w:rFonts w:ascii="Times New Roman" w:eastAsia="Times New Roman" w:hAnsi="Times New Roman" w:cs="Times New Roman"/>
          <w:i/>
          <w:lang w:bidi="es-ES"/>
        </w:rPr>
        <w:t>Deuda Financiera Permitida</w:t>
      </w:r>
      <w:r>
        <w:rPr>
          <w:rFonts w:ascii="Times New Roman" w:eastAsia="Times New Roman" w:hAnsi="Times New Roman" w:cs="Times New Roman"/>
          <w:lang w:bidi="es-ES"/>
        </w:rPr>
        <w:t>” establecida en el apartado “</w:t>
      </w:r>
      <w:r w:rsidRPr="00AB045F">
        <w:rPr>
          <w:rFonts w:ascii="Times New Roman" w:eastAsia="Times New Roman" w:hAnsi="Times New Roman" w:cs="Times New Roman"/>
          <w:i/>
          <w:lang w:bidi="es-ES"/>
        </w:rPr>
        <w:t>(</w:t>
      </w:r>
      <w:r>
        <w:rPr>
          <w:rFonts w:ascii="Times New Roman" w:eastAsia="Times New Roman" w:hAnsi="Times New Roman" w:cs="Times New Roman"/>
          <w:i/>
          <w:lang w:bidi="es-ES"/>
        </w:rPr>
        <w:t>V</w:t>
      </w:r>
      <w:r w:rsidRPr="00AB045F">
        <w:rPr>
          <w:rFonts w:ascii="Times New Roman" w:eastAsia="Times New Roman" w:hAnsi="Times New Roman" w:cs="Times New Roman"/>
          <w:i/>
          <w:lang w:bidi="es-ES"/>
        </w:rPr>
        <w:t xml:space="preserve">) </w:t>
      </w:r>
      <w:r>
        <w:rPr>
          <w:rFonts w:ascii="Times New Roman" w:eastAsia="Times New Roman" w:hAnsi="Times New Roman" w:cs="Times New Roman"/>
          <w:i/>
          <w:lang w:bidi="es-ES"/>
        </w:rPr>
        <w:t>Términos y Condiciones Adicionales</w:t>
      </w:r>
      <w:r w:rsidRPr="00AB045F">
        <w:rPr>
          <w:rFonts w:ascii="Times New Roman" w:eastAsia="Times New Roman" w:hAnsi="Times New Roman" w:cs="Times New Roman"/>
          <w:i/>
          <w:lang w:bidi="es-ES"/>
        </w:rPr>
        <w:t xml:space="preserve"> de las Obligaciones Negociables</w:t>
      </w:r>
      <w:r>
        <w:rPr>
          <w:rFonts w:ascii="Times New Roman" w:eastAsia="Times New Roman" w:hAnsi="Times New Roman" w:cs="Times New Roman"/>
          <w:i/>
          <w:lang w:bidi="es-ES"/>
        </w:rPr>
        <w:t xml:space="preserve"> – (ix) Ciertas definiciones</w:t>
      </w:r>
      <w:r>
        <w:rPr>
          <w:rFonts w:ascii="Times New Roman" w:eastAsia="Times New Roman" w:hAnsi="Times New Roman" w:cs="Times New Roman"/>
          <w:lang w:bidi="es-ES"/>
        </w:rPr>
        <w:t>” de la Tercer Adenda por la siguiente:</w:t>
      </w:r>
    </w:p>
    <w:p w14:paraId="0B918410" w14:textId="77777777" w:rsidR="005E0114" w:rsidRDefault="005E0114" w:rsidP="005E0114">
      <w:pPr>
        <w:pStyle w:val="Prrafodelista"/>
        <w:spacing w:after="0" w:line="240" w:lineRule="auto"/>
        <w:ind w:leftChars="0" w:left="993" w:firstLineChars="0" w:firstLine="0"/>
        <w:jc w:val="both"/>
        <w:rPr>
          <w:rFonts w:ascii="Times New Roman" w:eastAsia="Times New Roman" w:hAnsi="Times New Roman" w:cs="Times New Roman"/>
          <w:lang w:bidi="es-ES"/>
        </w:rPr>
      </w:pPr>
    </w:p>
    <w:p w14:paraId="68841E4B" w14:textId="77777777" w:rsidR="005E0114" w:rsidRPr="00FA4E96" w:rsidRDefault="005E0114" w:rsidP="005E0114">
      <w:pPr>
        <w:pStyle w:val="Prrafodelista"/>
        <w:spacing w:after="0" w:line="240" w:lineRule="auto"/>
        <w:ind w:leftChars="0" w:left="993" w:firstLineChars="0" w:firstLine="0"/>
        <w:jc w:val="both"/>
        <w:textDirection w:val="lrTb"/>
        <w:rPr>
          <w:rFonts w:ascii="Times New Roman" w:hAnsi="Times New Roman" w:cs="Times New Roman"/>
          <w:b/>
        </w:rPr>
      </w:pPr>
      <w:r w:rsidRPr="00434311">
        <w:rPr>
          <w:rFonts w:ascii="Times New Roman" w:hAnsi="Times New Roman" w:cs="Times New Roman"/>
          <w:i/>
        </w:rPr>
        <w:t>“</w:t>
      </w:r>
      <w:r w:rsidRPr="00434311">
        <w:rPr>
          <w:rFonts w:ascii="Times New Roman" w:hAnsi="Times New Roman" w:cs="Times New Roman"/>
          <w:i/>
          <w:u w:val="single"/>
        </w:rPr>
        <w:t>Deuda Financiera Permitida</w:t>
      </w:r>
      <w:r w:rsidRPr="00434311">
        <w:rPr>
          <w:rFonts w:ascii="Times New Roman" w:hAnsi="Times New Roman" w:cs="Times New Roman"/>
          <w:i/>
        </w:rPr>
        <w:t>” significa (a) uno o más Endeudamientos Financieros de la Sociedad</w:t>
      </w:r>
      <w:r w:rsidRPr="00434311">
        <w:rPr>
          <w:rFonts w:ascii="Times New Roman" w:hAnsi="Times New Roman" w:cs="Times New Roman"/>
          <w:i/>
          <w:szCs w:val="24"/>
        </w:rPr>
        <w:t xml:space="preserve"> por un monto total conjunto de capital que no supere en cualquier </w:t>
      </w:r>
      <w:r w:rsidRPr="00434311">
        <w:rPr>
          <w:rFonts w:ascii="Times New Roman" w:hAnsi="Times New Roman" w:cs="Times New Roman"/>
          <w:i/>
          <w:szCs w:val="24"/>
        </w:rPr>
        <w:lastRenderedPageBreak/>
        <w:t>fecha (considerado el tiempo transcurrido desde la Fecha Límite</w:t>
      </w:r>
      <w:r w:rsidRPr="00434311">
        <w:rPr>
          <w:rFonts w:ascii="Times New Roman" w:hAnsi="Times New Roman" w:cs="Times New Roman"/>
          <w:i/>
        </w:rPr>
        <w:t xml:space="preserve"> como un único período</w:t>
      </w:r>
      <w:r w:rsidRPr="00434311">
        <w:rPr>
          <w:rFonts w:ascii="Times New Roman" w:hAnsi="Times New Roman" w:cs="Times New Roman"/>
          <w:i/>
          <w:szCs w:val="24"/>
        </w:rPr>
        <w:t xml:space="preserve">) el monto </w:t>
      </w:r>
      <w:r w:rsidRPr="00434311">
        <w:rPr>
          <w:rFonts w:ascii="Times New Roman" w:hAnsi="Times New Roman" w:cs="Times New Roman"/>
          <w:i/>
        </w:rPr>
        <w:t xml:space="preserve">mayor entre </w:t>
      </w:r>
      <w:r w:rsidRPr="00434311">
        <w:rPr>
          <w:rFonts w:ascii="Times New Roman" w:hAnsi="Times New Roman" w:cs="Times New Roman"/>
          <w:i/>
          <w:szCs w:val="24"/>
        </w:rPr>
        <w:t>(</w:t>
      </w:r>
      <w:r w:rsidRPr="00434311">
        <w:rPr>
          <w:rFonts w:ascii="Times New Roman" w:hAnsi="Times New Roman" w:cs="Times New Roman"/>
          <w:i/>
        </w:rPr>
        <w:t>i</w:t>
      </w:r>
      <w:r w:rsidRPr="00434311">
        <w:rPr>
          <w:rFonts w:ascii="Times New Roman" w:hAnsi="Times New Roman" w:cs="Times New Roman"/>
          <w:i/>
          <w:szCs w:val="24"/>
        </w:rPr>
        <w:t xml:space="preserve">) </w:t>
      </w:r>
      <w:r w:rsidRPr="00983679">
        <w:rPr>
          <w:rFonts w:ascii="Times New Roman" w:hAnsi="Times New Roman" w:cs="Times New Roman"/>
          <w:i/>
        </w:rPr>
        <w:t>Dólares seis millones (</w:t>
      </w:r>
      <w:r w:rsidRPr="00983679">
        <w:rPr>
          <w:rFonts w:ascii="Times New Roman" w:hAnsi="Times New Roman" w:cs="Times New Roman"/>
          <w:i/>
          <w:szCs w:val="24"/>
        </w:rPr>
        <w:t>US</w:t>
      </w:r>
      <w:r w:rsidRPr="00983679">
        <w:rPr>
          <w:rFonts w:ascii="Times New Roman" w:hAnsi="Times New Roman" w:cs="Times New Roman"/>
          <w:i/>
        </w:rPr>
        <w:t>$6</w:t>
      </w:r>
      <w:r w:rsidRPr="00983679">
        <w:rPr>
          <w:rFonts w:ascii="Times New Roman" w:hAnsi="Times New Roman" w:cs="Times New Roman"/>
          <w:i/>
          <w:szCs w:val="24"/>
        </w:rPr>
        <w:t>.000.000</w:t>
      </w:r>
      <w:r w:rsidRPr="00983679">
        <w:rPr>
          <w:rFonts w:ascii="Times New Roman" w:hAnsi="Times New Roman" w:cs="Times New Roman"/>
          <w:i/>
        </w:rPr>
        <w:t>)</w:t>
      </w:r>
      <w:r>
        <w:rPr>
          <w:rFonts w:ascii="Times New Roman" w:hAnsi="Times New Roman" w:cs="Times New Roman"/>
        </w:rPr>
        <w:t xml:space="preserve"> </w:t>
      </w:r>
      <w:r w:rsidRPr="00434311">
        <w:rPr>
          <w:rFonts w:ascii="Times New Roman" w:hAnsi="Times New Roman" w:cs="Times New Roman"/>
          <w:i/>
          <w:szCs w:val="24"/>
        </w:rPr>
        <w:t xml:space="preserve">(o su </w:t>
      </w:r>
      <w:r w:rsidRPr="00434311">
        <w:rPr>
          <w:rFonts w:ascii="Times New Roman" w:hAnsi="Times New Roman" w:cs="Times New Roman"/>
          <w:i/>
        </w:rPr>
        <w:t>e</w:t>
      </w:r>
      <w:r w:rsidRPr="00434311">
        <w:rPr>
          <w:rFonts w:ascii="Times New Roman" w:hAnsi="Times New Roman" w:cs="Times New Roman"/>
          <w:i/>
          <w:szCs w:val="24"/>
        </w:rPr>
        <w:t xml:space="preserve">quivalente en </w:t>
      </w:r>
      <w:r w:rsidRPr="00434311">
        <w:rPr>
          <w:rFonts w:ascii="Times New Roman" w:hAnsi="Times New Roman" w:cs="Times New Roman"/>
          <w:i/>
        </w:rPr>
        <w:t>Pesos</w:t>
      </w:r>
      <w:r w:rsidRPr="00434311">
        <w:rPr>
          <w:rFonts w:ascii="Times New Roman" w:hAnsi="Times New Roman" w:cs="Times New Roman"/>
          <w:i/>
          <w:szCs w:val="24"/>
        </w:rPr>
        <w:t>)</w:t>
      </w:r>
      <w:r w:rsidRPr="00434311">
        <w:rPr>
          <w:rFonts w:ascii="Times New Roman" w:hAnsi="Times New Roman" w:cs="Times New Roman"/>
          <w:i/>
        </w:rPr>
        <w:t xml:space="preserve"> y (ii) el 50 % del EBITDA del Período Móvil finalizado en dicha fecha (o si dicha fecha no es el último día de un trimestre económico de la Sociedad, finalizado el último día del último trimestre económico de la Sociedad finalizado inmediatamente antes de dicha fecha); y (b) Deuda Subordinada.</w:t>
      </w:r>
      <w:r>
        <w:rPr>
          <w:rFonts w:ascii="Times New Roman" w:hAnsi="Times New Roman" w:cs="Times New Roman"/>
          <w:i/>
        </w:rPr>
        <w:t xml:space="preserve"> </w:t>
      </w:r>
    </w:p>
    <w:p w14:paraId="2F8B2433" w14:textId="77777777" w:rsidR="005E0114" w:rsidRDefault="005E0114" w:rsidP="005E0114">
      <w:pPr>
        <w:spacing w:after="0" w:line="240" w:lineRule="auto"/>
        <w:ind w:leftChars="0" w:left="0" w:firstLineChars="0" w:firstLine="0"/>
        <w:jc w:val="both"/>
        <w:rPr>
          <w:rFonts w:ascii="Times New Roman" w:eastAsia="Times New Roman" w:hAnsi="Times New Roman" w:cs="Times New Roman"/>
          <w:lang w:bidi="es-ES"/>
        </w:rPr>
      </w:pPr>
    </w:p>
    <w:p w14:paraId="07F88329" w14:textId="77777777" w:rsidR="005E0114" w:rsidRPr="00FA2559" w:rsidRDefault="005E0114" w:rsidP="005E0114">
      <w:pPr>
        <w:pStyle w:val="Prrafodelista"/>
        <w:numPr>
          <w:ilvl w:val="0"/>
          <w:numId w:val="18"/>
        </w:numPr>
        <w:spacing w:after="0" w:line="240" w:lineRule="auto"/>
        <w:ind w:leftChars="192" w:left="992" w:hangingChars="259" w:hanging="570"/>
        <w:contextualSpacing w:val="0"/>
        <w:jc w:val="both"/>
        <w:rPr>
          <w:rFonts w:ascii="Times New Roman" w:eastAsia="Times New Roman" w:hAnsi="Times New Roman" w:cs="Times New Roman"/>
          <w:i/>
          <w:lang w:val="es-MX" w:bidi="es-ES"/>
        </w:rPr>
      </w:pPr>
      <w:r w:rsidRPr="009E711B">
        <w:rPr>
          <w:rFonts w:ascii="Times New Roman" w:eastAsia="Times New Roman" w:hAnsi="Times New Roman" w:cs="Times New Roman"/>
          <w:lang w:bidi="es-ES"/>
        </w:rPr>
        <w:t>En caso de que la Sociedad obtenga el consentimiento de la Mayoría Necesaria para la Propuesta</w:t>
      </w:r>
      <w:r>
        <w:rPr>
          <w:rFonts w:ascii="Times New Roman" w:eastAsia="Times New Roman" w:hAnsi="Times New Roman" w:cs="Times New Roman"/>
          <w:lang w:bidi="es-ES"/>
        </w:rPr>
        <w:t>, suprimir el compromiso previsto en el inciso (vi) “</w:t>
      </w:r>
      <w:r w:rsidRPr="00FA2559">
        <w:rPr>
          <w:rFonts w:ascii="Times New Roman" w:eastAsia="Times New Roman" w:hAnsi="Times New Roman" w:cs="Times New Roman"/>
          <w:i/>
          <w:lang w:bidi="es-ES"/>
        </w:rPr>
        <w:t>Modificación del Contrato de Fideicomiso Catalinas</w:t>
      </w:r>
      <w:r>
        <w:rPr>
          <w:rFonts w:ascii="Times New Roman" w:eastAsia="Times New Roman" w:hAnsi="Times New Roman" w:cs="Times New Roman"/>
          <w:lang w:bidi="es-ES"/>
        </w:rPr>
        <w:t>” del apartado “</w:t>
      </w:r>
      <w:r w:rsidRPr="00AB045F">
        <w:rPr>
          <w:rFonts w:ascii="Times New Roman" w:eastAsia="Times New Roman" w:hAnsi="Times New Roman" w:cs="Times New Roman"/>
          <w:i/>
          <w:lang w:bidi="es-ES"/>
        </w:rPr>
        <w:t>(</w:t>
      </w:r>
      <w:r>
        <w:rPr>
          <w:rFonts w:ascii="Times New Roman" w:eastAsia="Times New Roman" w:hAnsi="Times New Roman" w:cs="Times New Roman"/>
          <w:i/>
          <w:lang w:bidi="es-ES"/>
        </w:rPr>
        <w:t>V</w:t>
      </w:r>
      <w:r w:rsidRPr="00AB045F">
        <w:rPr>
          <w:rFonts w:ascii="Times New Roman" w:eastAsia="Times New Roman" w:hAnsi="Times New Roman" w:cs="Times New Roman"/>
          <w:i/>
          <w:lang w:bidi="es-ES"/>
        </w:rPr>
        <w:t xml:space="preserve">) </w:t>
      </w:r>
      <w:r>
        <w:rPr>
          <w:rFonts w:ascii="Times New Roman" w:eastAsia="Times New Roman" w:hAnsi="Times New Roman" w:cs="Times New Roman"/>
          <w:i/>
          <w:lang w:bidi="es-ES"/>
        </w:rPr>
        <w:t>Términos y Condiciones Adicionales</w:t>
      </w:r>
      <w:r w:rsidRPr="00AB045F">
        <w:rPr>
          <w:rFonts w:ascii="Times New Roman" w:eastAsia="Times New Roman" w:hAnsi="Times New Roman" w:cs="Times New Roman"/>
          <w:i/>
          <w:lang w:bidi="es-ES"/>
        </w:rPr>
        <w:t xml:space="preserve"> de las Obligaciones Negociables</w:t>
      </w:r>
      <w:r>
        <w:rPr>
          <w:rFonts w:ascii="Times New Roman" w:eastAsia="Times New Roman" w:hAnsi="Times New Roman" w:cs="Times New Roman"/>
          <w:lang w:bidi="es-ES"/>
        </w:rPr>
        <w:t>”</w:t>
      </w:r>
      <w:r w:rsidRPr="005D1F32">
        <w:rPr>
          <w:rFonts w:ascii="Times New Roman" w:eastAsia="Times New Roman" w:hAnsi="Times New Roman" w:cs="Times New Roman"/>
          <w:lang w:val="es-AR" w:bidi="es-ES"/>
        </w:rPr>
        <w:t xml:space="preserve"> </w:t>
      </w:r>
      <w:r w:rsidRPr="00434311">
        <w:rPr>
          <w:rFonts w:ascii="Times New Roman" w:eastAsia="Times New Roman" w:hAnsi="Times New Roman" w:cs="Times New Roman"/>
          <w:lang w:val="es-AR" w:bidi="es-ES"/>
        </w:rPr>
        <w:t>de</w:t>
      </w:r>
      <w:r>
        <w:rPr>
          <w:rFonts w:ascii="Times New Roman" w:eastAsia="Times New Roman" w:hAnsi="Times New Roman" w:cs="Times New Roman"/>
          <w:lang w:val="es-AR" w:bidi="es-ES"/>
        </w:rPr>
        <w:t xml:space="preserve"> </w:t>
      </w:r>
      <w:r w:rsidRPr="00434311">
        <w:rPr>
          <w:rFonts w:ascii="Times New Roman" w:eastAsia="Times New Roman" w:hAnsi="Times New Roman" w:cs="Times New Roman"/>
          <w:lang w:val="es-AR" w:bidi="es-ES"/>
        </w:rPr>
        <w:t>l</w:t>
      </w:r>
      <w:r>
        <w:rPr>
          <w:rFonts w:ascii="Times New Roman" w:eastAsia="Times New Roman" w:hAnsi="Times New Roman" w:cs="Times New Roman"/>
          <w:lang w:val="es-AR" w:bidi="es-ES"/>
        </w:rPr>
        <w:t>a</w:t>
      </w:r>
      <w:r w:rsidRPr="00434311">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 xml:space="preserve">Tercer Adenda. </w:t>
      </w:r>
    </w:p>
    <w:p w14:paraId="63CC6C12" w14:textId="77777777" w:rsidR="005E0114" w:rsidRPr="00FA2559"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i/>
          <w:lang w:val="es-MX" w:bidi="es-ES"/>
        </w:rPr>
      </w:pPr>
    </w:p>
    <w:p w14:paraId="345AE6E0" w14:textId="77777777" w:rsidR="005E0114" w:rsidRPr="002F6CE8" w:rsidRDefault="005E0114" w:rsidP="005E0114">
      <w:pPr>
        <w:pStyle w:val="Prrafodelista"/>
        <w:numPr>
          <w:ilvl w:val="0"/>
          <w:numId w:val="18"/>
        </w:numPr>
        <w:spacing w:after="0" w:line="240" w:lineRule="auto"/>
        <w:ind w:leftChars="192" w:left="992" w:hangingChars="259" w:hanging="570"/>
        <w:contextualSpacing w:val="0"/>
        <w:jc w:val="both"/>
        <w:rPr>
          <w:rFonts w:ascii="Times New Roman" w:eastAsia="Times New Roman" w:hAnsi="Times New Roman" w:cs="Times New Roman"/>
          <w:i/>
          <w:lang w:val="es-MX" w:bidi="es-ES"/>
        </w:rPr>
      </w:pPr>
      <w:r w:rsidRPr="009E711B">
        <w:rPr>
          <w:rFonts w:ascii="Times New Roman" w:eastAsia="Times New Roman" w:hAnsi="Times New Roman" w:cs="Times New Roman"/>
          <w:lang w:bidi="es-ES"/>
        </w:rPr>
        <w:t>En caso de que la Sociedad obtenga el consentimiento de la Mayoría Necesaria para la Propuesta</w:t>
      </w:r>
      <w:r>
        <w:rPr>
          <w:rFonts w:ascii="Times New Roman" w:eastAsia="Times New Roman" w:hAnsi="Times New Roman" w:cs="Times New Roman"/>
          <w:lang w:val="es-MX" w:bidi="es-ES"/>
        </w:rPr>
        <w:t xml:space="preserve"> y </w:t>
      </w:r>
      <w:r w:rsidRPr="006A138C">
        <w:rPr>
          <w:rFonts w:ascii="Times New Roman" w:eastAsia="Times New Roman" w:hAnsi="Times New Roman" w:cs="Times New Roman"/>
          <w:lang w:val="es-MX" w:bidi="es-ES"/>
        </w:rPr>
        <w:t xml:space="preserve">a fin de </w:t>
      </w:r>
      <w:r>
        <w:rPr>
          <w:rFonts w:ascii="Times New Roman" w:eastAsia="Times New Roman" w:hAnsi="Times New Roman" w:cs="Times New Roman"/>
          <w:lang w:val="es-MX" w:bidi="es-ES"/>
        </w:rPr>
        <w:t xml:space="preserve">que la </w:t>
      </w:r>
      <w:r w:rsidRPr="00B53A8C">
        <w:rPr>
          <w:rFonts w:ascii="Times New Roman" w:eastAsia="Times New Roman" w:hAnsi="Times New Roman" w:cs="Times New Roman"/>
          <w:lang w:bidi="es-ES"/>
        </w:rPr>
        <w:t>Garantía del Pago de Capital de Agosto 2022</w:t>
      </w:r>
      <w:r>
        <w:rPr>
          <w:rFonts w:ascii="Times New Roman" w:eastAsia="Times New Roman" w:hAnsi="Times New Roman" w:cs="Times New Roman"/>
          <w:lang w:bidi="es-ES"/>
        </w:rPr>
        <w:t xml:space="preserve"> sea considerada como un Gravamen Permitido</w:t>
      </w:r>
      <w:r w:rsidRPr="00B53A8C">
        <w:rPr>
          <w:rFonts w:ascii="Times New Roman" w:eastAsia="Times New Roman" w:hAnsi="Times New Roman" w:cs="Times New Roman"/>
          <w:lang w:val="es-AR" w:bidi="es-ES"/>
        </w:rPr>
        <w:t>,</w:t>
      </w:r>
      <w:r>
        <w:rPr>
          <w:rFonts w:ascii="Times New Roman" w:eastAsia="Times New Roman" w:hAnsi="Times New Roman" w:cs="Times New Roman"/>
          <w:lang w:val="es-AR" w:bidi="es-ES"/>
        </w:rPr>
        <w:t xml:space="preserve"> se reemplazarán íntegramente los incisos (a), y (l) </w:t>
      </w:r>
      <w:r w:rsidRPr="004D191D">
        <w:rPr>
          <w:rFonts w:ascii="Times New Roman" w:eastAsia="Times New Roman" w:hAnsi="Times New Roman" w:cs="Times New Roman"/>
          <w:lang w:val="es-AR" w:bidi="es-ES"/>
        </w:rPr>
        <w:t xml:space="preserve">del apartado </w:t>
      </w:r>
      <w:r>
        <w:rPr>
          <w:rFonts w:ascii="Times New Roman" w:eastAsia="Times New Roman" w:hAnsi="Times New Roman" w:cs="Times New Roman"/>
          <w:lang w:bidi="es-ES"/>
        </w:rPr>
        <w:t>“</w:t>
      </w:r>
      <w:r w:rsidRPr="00AB045F">
        <w:rPr>
          <w:rFonts w:ascii="Times New Roman" w:eastAsia="Times New Roman" w:hAnsi="Times New Roman" w:cs="Times New Roman"/>
          <w:i/>
          <w:lang w:bidi="es-ES"/>
        </w:rPr>
        <w:t>(</w:t>
      </w:r>
      <w:r>
        <w:rPr>
          <w:rFonts w:ascii="Times New Roman" w:eastAsia="Times New Roman" w:hAnsi="Times New Roman" w:cs="Times New Roman"/>
          <w:i/>
          <w:lang w:bidi="es-ES"/>
        </w:rPr>
        <w:t>V</w:t>
      </w:r>
      <w:r w:rsidRPr="00AB045F">
        <w:rPr>
          <w:rFonts w:ascii="Times New Roman" w:eastAsia="Times New Roman" w:hAnsi="Times New Roman" w:cs="Times New Roman"/>
          <w:i/>
          <w:lang w:bidi="es-ES"/>
        </w:rPr>
        <w:t xml:space="preserve">) </w:t>
      </w:r>
      <w:r>
        <w:rPr>
          <w:rFonts w:ascii="Times New Roman" w:eastAsia="Times New Roman" w:hAnsi="Times New Roman" w:cs="Times New Roman"/>
          <w:i/>
          <w:lang w:bidi="es-ES"/>
        </w:rPr>
        <w:t>Términos y Condiciones Adicionales</w:t>
      </w:r>
      <w:r w:rsidRPr="00AB045F">
        <w:rPr>
          <w:rFonts w:ascii="Times New Roman" w:eastAsia="Times New Roman" w:hAnsi="Times New Roman" w:cs="Times New Roman"/>
          <w:i/>
          <w:lang w:bidi="es-ES"/>
        </w:rPr>
        <w:t xml:space="preserve"> de las Obligaciones Negociables</w:t>
      </w:r>
      <w:r>
        <w:rPr>
          <w:rFonts w:ascii="Times New Roman" w:eastAsia="Times New Roman" w:hAnsi="Times New Roman" w:cs="Times New Roman"/>
          <w:i/>
          <w:lang w:bidi="es-ES"/>
        </w:rPr>
        <w:t xml:space="preserve"> – (vii) Gravámenes</w:t>
      </w:r>
      <w:r>
        <w:rPr>
          <w:rFonts w:ascii="Times New Roman" w:eastAsia="Times New Roman" w:hAnsi="Times New Roman" w:cs="Times New Roman"/>
          <w:lang w:bidi="es-ES"/>
        </w:rPr>
        <w:t>”</w:t>
      </w:r>
      <w:r>
        <w:rPr>
          <w:rFonts w:ascii="Times New Roman" w:eastAsia="Times New Roman" w:hAnsi="Times New Roman" w:cs="Times New Roman"/>
          <w:i/>
          <w:lang w:bidi="es-ES"/>
        </w:rPr>
        <w:t xml:space="preserve"> </w:t>
      </w:r>
      <w:r w:rsidRPr="00434311">
        <w:rPr>
          <w:rFonts w:ascii="Times New Roman" w:eastAsia="Times New Roman" w:hAnsi="Times New Roman" w:cs="Times New Roman"/>
          <w:lang w:val="es-AR" w:bidi="es-ES"/>
        </w:rPr>
        <w:t>de</w:t>
      </w:r>
      <w:r>
        <w:rPr>
          <w:rFonts w:ascii="Times New Roman" w:eastAsia="Times New Roman" w:hAnsi="Times New Roman" w:cs="Times New Roman"/>
          <w:lang w:val="es-AR" w:bidi="es-ES"/>
        </w:rPr>
        <w:t xml:space="preserve"> </w:t>
      </w:r>
      <w:r w:rsidRPr="00434311">
        <w:rPr>
          <w:rFonts w:ascii="Times New Roman" w:eastAsia="Times New Roman" w:hAnsi="Times New Roman" w:cs="Times New Roman"/>
          <w:lang w:val="es-AR" w:bidi="es-ES"/>
        </w:rPr>
        <w:t>l</w:t>
      </w:r>
      <w:r>
        <w:rPr>
          <w:rFonts w:ascii="Times New Roman" w:eastAsia="Times New Roman" w:hAnsi="Times New Roman" w:cs="Times New Roman"/>
          <w:lang w:val="es-AR" w:bidi="es-ES"/>
        </w:rPr>
        <w:t>a</w:t>
      </w:r>
      <w:r w:rsidRPr="00434311">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Tercer Adenda,</w:t>
      </w:r>
      <w:r w:rsidRPr="00434311">
        <w:rPr>
          <w:rFonts w:ascii="Times New Roman" w:eastAsia="Times New Roman" w:hAnsi="Times New Roman" w:cs="Times New Roman"/>
          <w:lang w:val="es-AR" w:bidi="es-ES"/>
        </w:rPr>
        <w:t xml:space="preserve"> </w:t>
      </w:r>
      <w:r w:rsidRPr="006A138C">
        <w:rPr>
          <w:rFonts w:ascii="Times New Roman" w:hAnsi="Times New Roman" w:cs="Times New Roman"/>
          <w:lang w:bidi="es-ES"/>
        </w:rPr>
        <w:t>de modo tal que</w:t>
      </w:r>
      <w:r>
        <w:rPr>
          <w:rFonts w:ascii="Times New Roman" w:hAnsi="Times New Roman" w:cs="Times New Roman"/>
          <w:lang w:bidi="es-ES"/>
        </w:rPr>
        <w:t xml:space="preserve"> quede redactado</w:t>
      </w:r>
      <w:r w:rsidRPr="006A138C">
        <w:rPr>
          <w:rFonts w:ascii="Times New Roman" w:hAnsi="Times New Roman" w:cs="Times New Roman"/>
          <w:lang w:bidi="es-ES"/>
        </w:rPr>
        <w:t xml:space="preserve"> de la siguiente manera:</w:t>
      </w:r>
    </w:p>
    <w:p w14:paraId="1E57EE47" w14:textId="77777777" w:rsidR="005E0114" w:rsidRDefault="005E0114" w:rsidP="005E0114">
      <w:pPr>
        <w:pStyle w:val="Prrafodelista"/>
        <w:spacing w:after="0" w:line="240" w:lineRule="auto"/>
        <w:ind w:leftChars="0" w:left="992" w:firstLineChars="0" w:firstLine="0"/>
        <w:contextualSpacing w:val="0"/>
        <w:jc w:val="both"/>
        <w:rPr>
          <w:rFonts w:ascii="Times New Roman" w:hAnsi="Times New Roman" w:cs="Times New Roman"/>
          <w:lang w:val="es-MX" w:bidi="es-ES"/>
        </w:rPr>
      </w:pPr>
    </w:p>
    <w:p w14:paraId="2E5CD789" w14:textId="77777777" w:rsidR="005E0114" w:rsidRPr="00FA2559" w:rsidRDefault="005E0114" w:rsidP="005E0114">
      <w:pPr>
        <w:pStyle w:val="Prrafodelista"/>
        <w:spacing w:after="0" w:line="240" w:lineRule="auto"/>
        <w:ind w:leftChars="0" w:left="1352" w:firstLineChars="0" w:firstLine="0"/>
        <w:contextualSpacing w:val="0"/>
        <w:jc w:val="both"/>
        <w:rPr>
          <w:rFonts w:ascii="Times New Roman" w:eastAsia="Times New Roman" w:hAnsi="Times New Roman" w:cs="Times New Roman"/>
          <w:i/>
          <w:lang w:val="es-MX" w:bidi="es-ES"/>
        </w:rPr>
      </w:pPr>
      <w:r w:rsidRPr="00FA2559">
        <w:rPr>
          <w:rFonts w:ascii="Times New Roman" w:hAnsi="Times New Roman" w:cs="Times New Roman"/>
          <w:i/>
          <w:lang w:val="es-MX" w:bidi="es-ES"/>
        </w:rPr>
        <w:t xml:space="preserve">(a) Gravámenes constituidos en razón de la </w:t>
      </w:r>
      <w:r w:rsidRPr="00FA2559">
        <w:rPr>
          <w:rFonts w:ascii="Times New Roman" w:eastAsia="Times New Roman" w:hAnsi="Times New Roman" w:cs="Times New Roman"/>
          <w:i/>
          <w:lang w:bidi="es-ES"/>
        </w:rPr>
        <w:t>Garantía del Pago de Capital de Agosto 2022</w:t>
      </w:r>
      <w:r>
        <w:rPr>
          <w:rFonts w:ascii="Times New Roman" w:eastAsia="Times New Roman" w:hAnsi="Times New Roman" w:cs="Times New Roman"/>
          <w:i/>
          <w:lang w:bidi="es-ES"/>
        </w:rPr>
        <w:t xml:space="preserve"> y de la Hipoteca Hudson</w:t>
      </w:r>
      <w:r w:rsidRPr="00FA2559">
        <w:rPr>
          <w:rFonts w:ascii="Times New Roman" w:eastAsia="Times New Roman" w:hAnsi="Times New Roman" w:cs="Times New Roman"/>
          <w:i/>
          <w:lang w:bidi="es-ES"/>
        </w:rPr>
        <w:t>;</w:t>
      </w:r>
    </w:p>
    <w:p w14:paraId="3AC57005" w14:textId="77777777" w:rsidR="005E0114" w:rsidRPr="0040695C" w:rsidRDefault="005E0114" w:rsidP="005E0114">
      <w:pPr>
        <w:spacing w:after="0" w:line="240" w:lineRule="auto"/>
        <w:ind w:leftChars="0" w:left="0" w:firstLineChars="0" w:firstLine="0"/>
        <w:jc w:val="both"/>
        <w:rPr>
          <w:rFonts w:ascii="Times New Roman" w:eastAsia="Times New Roman" w:hAnsi="Times New Roman" w:cs="Times New Roman"/>
          <w:lang w:bidi="es-ES"/>
        </w:rPr>
      </w:pPr>
    </w:p>
    <w:p w14:paraId="43675412" w14:textId="77777777" w:rsidR="005E0114" w:rsidRPr="003722BE" w:rsidRDefault="005E0114" w:rsidP="005E0114">
      <w:pPr>
        <w:pStyle w:val="Prrafodelista"/>
        <w:spacing w:after="0" w:line="240" w:lineRule="auto"/>
        <w:ind w:leftChars="0" w:left="1352" w:firstLineChars="0" w:firstLine="0"/>
        <w:contextualSpacing w:val="0"/>
        <w:jc w:val="both"/>
        <w:rPr>
          <w:rFonts w:ascii="Times New Roman" w:eastAsia="Times New Roman" w:hAnsi="Times New Roman" w:cs="Times New Roman"/>
          <w:i/>
          <w:lang w:val="es-MX" w:bidi="es-ES"/>
        </w:rPr>
      </w:pPr>
      <w:r w:rsidRPr="00FA2559">
        <w:rPr>
          <w:rFonts w:ascii="Times New Roman" w:eastAsia="Times New Roman" w:hAnsi="Times New Roman" w:cs="Times New Roman"/>
          <w:i/>
          <w:lang w:bidi="es-ES"/>
        </w:rPr>
        <w:t>(l)</w:t>
      </w:r>
      <w:r>
        <w:rPr>
          <w:rFonts w:ascii="Times New Roman" w:eastAsia="Times New Roman" w:hAnsi="Times New Roman" w:cs="Times New Roman"/>
          <w:lang w:bidi="es-ES"/>
        </w:rPr>
        <w:t xml:space="preserve"> </w:t>
      </w:r>
      <w:r w:rsidRPr="00FA2559">
        <w:rPr>
          <w:rFonts w:ascii="Times New Roman" w:eastAsia="Times New Roman" w:hAnsi="Times New Roman" w:cs="Times New Roman"/>
          <w:i/>
          <w:lang w:bidi="es-ES"/>
        </w:rPr>
        <w:t>y</w:t>
      </w:r>
      <w:r w:rsidRPr="00FA2559">
        <w:rPr>
          <w:rFonts w:ascii="Times New Roman" w:hAnsi="Times New Roman" w:cs="Times New Roman"/>
          <w:i/>
        </w:rPr>
        <w:t xml:space="preserve"> cualquier renovación de los Gravámenes indicados en (a) a (</w:t>
      </w:r>
      <w:r>
        <w:rPr>
          <w:rFonts w:ascii="Times New Roman" w:hAnsi="Times New Roman" w:cs="Times New Roman"/>
          <w:i/>
        </w:rPr>
        <w:t>k</w:t>
      </w:r>
      <w:r w:rsidRPr="00FA2559">
        <w:rPr>
          <w:rFonts w:ascii="Times New Roman" w:hAnsi="Times New Roman" w:cs="Times New Roman"/>
          <w:i/>
        </w:rPr>
        <w:t>);</w:t>
      </w:r>
      <w:r>
        <w:rPr>
          <w:rFonts w:ascii="Times New Roman" w:hAnsi="Times New Roman" w:cs="Times New Roman"/>
          <w:i/>
        </w:rPr>
        <w:t xml:space="preserve"> así como modificación y/o enmienda de Gravámenes existentes que se otorguen en cumplimiento de lo previsto en el Acuerdo con </w:t>
      </w:r>
      <w:proofErr w:type="spellStart"/>
      <w:r>
        <w:rPr>
          <w:rFonts w:ascii="Times New Roman" w:hAnsi="Times New Roman" w:cs="Times New Roman"/>
          <w:i/>
        </w:rPr>
        <w:t>Itaú</w:t>
      </w:r>
      <w:proofErr w:type="spellEnd"/>
      <w:r>
        <w:rPr>
          <w:rFonts w:ascii="Times New Roman" w:hAnsi="Times New Roman" w:cs="Times New Roman"/>
          <w:i/>
        </w:rPr>
        <w:t xml:space="preserve"> sobre la Participación en Catalinas;</w:t>
      </w:r>
    </w:p>
    <w:p w14:paraId="6E1111B9" w14:textId="77777777" w:rsidR="005E0114"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lang w:val="es-MX" w:bidi="es-ES"/>
        </w:rPr>
      </w:pPr>
    </w:p>
    <w:p w14:paraId="1FE1E896" w14:textId="77777777" w:rsidR="005E0114" w:rsidRPr="00434311" w:rsidRDefault="005E0114" w:rsidP="005E0114">
      <w:pPr>
        <w:pStyle w:val="Prrafodelista"/>
        <w:numPr>
          <w:ilvl w:val="0"/>
          <w:numId w:val="18"/>
        </w:numPr>
        <w:spacing w:after="0" w:line="240" w:lineRule="auto"/>
        <w:ind w:leftChars="192" w:left="992" w:hangingChars="259" w:hanging="570"/>
        <w:contextualSpacing w:val="0"/>
        <w:jc w:val="both"/>
        <w:rPr>
          <w:rFonts w:ascii="Times New Roman" w:eastAsia="Times New Roman" w:hAnsi="Times New Roman" w:cs="Times New Roman"/>
          <w:i/>
          <w:lang w:val="es-MX" w:bidi="es-ES"/>
        </w:rPr>
      </w:pPr>
      <w:r w:rsidRPr="009E711B">
        <w:rPr>
          <w:rFonts w:ascii="Times New Roman" w:eastAsia="Times New Roman" w:hAnsi="Times New Roman" w:cs="Times New Roman"/>
          <w:lang w:bidi="es-ES"/>
        </w:rPr>
        <w:t>En caso de que la Sociedad obtenga el consentimiento de la Mayoría Necesaria para la Propuesta</w:t>
      </w:r>
      <w:r w:rsidRPr="009E711B">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w:t>
      </w:r>
      <w:r w:rsidRPr="006A138C">
        <w:rPr>
          <w:rFonts w:ascii="Times New Roman" w:eastAsia="Times New Roman" w:hAnsi="Times New Roman" w:cs="Times New Roman"/>
          <w:lang w:val="es-MX" w:bidi="es-ES"/>
        </w:rPr>
        <w:t xml:space="preserve">a fin de suprimir </w:t>
      </w:r>
      <w:r>
        <w:rPr>
          <w:rFonts w:ascii="Times New Roman" w:eastAsia="Times New Roman" w:hAnsi="Times New Roman" w:cs="Times New Roman"/>
          <w:lang w:val="es-MX" w:bidi="es-ES"/>
        </w:rPr>
        <w:t>la referencia</w:t>
      </w:r>
      <w:r w:rsidRPr="006A138C">
        <w:rPr>
          <w:rFonts w:ascii="Times New Roman" w:eastAsia="Times New Roman" w:hAnsi="Times New Roman" w:cs="Times New Roman"/>
          <w:lang w:val="es-MX" w:bidi="es-ES"/>
        </w:rPr>
        <w:t xml:space="preserve"> a “la </w:t>
      </w:r>
      <w:r w:rsidRPr="006B0565">
        <w:rPr>
          <w:rFonts w:ascii="Times New Roman" w:eastAsia="Times New Roman" w:hAnsi="Times New Roman" w:cs="Times New Roman"/>
          <w:i/>
          <w:lang w:val="es-MX" w:bidi="es-ES"/>
        </w:rPr>
        <w:t>Prenda</w:t>
      </w:r>
      <w:r w:rsidRPr="006A138C">
        <w:rPr>
          <w:rFonts w:ascii="Times New Roman" w:eastAsia="Times New Roman" w:hAnsi="Times New Roman" w:cs="Times New Roman"/>
          <w:lang w:val="es-MX" w:bidi="es-ES"/>
        </w:rPr>
        <w:t>”</w:t>
      </w:r>
      <w:r>
        <w:rPr>
          <w:rFonts w:ascii="Times New Roman" w:eastAsia="Times New Roman" w:hAnsi="Times New Roman" w:cs="Times New Roman"/>
          <w:lang w:val="es-MX" w:bidi="es-ES"/>
        </w:rPr>
        <w:t xml:space="preserve"> del</w:t>
      </w:r>
      <w:r>
        <w:rPr>
          <w:rFonts w:ascii="Times New Roman" w:eastAsia="Times New Roman" w:hAnsi="Times New Roman" w:cs="Times New Roman"/>
          <w:lang w:val="es-AR" w:bidi="es-ES"/>
        </w:rPr>
        <w:t xml:space="preserve"> el inciso (i) </w:t>
      </w:r>
      <w:r w:rsidRPr="004D191D">
        <w:rPr>
          <w:rFonts w:ascii="Times New Roman" w:eastAsia="Times New Roman" w:hAnsi="Times New Roman" w:cs="Times New Roman"/>
          <w:lang w:val="es-AR" w:bidi="es-ES"/>
        </w:rPr>
        <w:t xml:space="preserve">del apartado </w:t>
      </w:r>
      <w:r>
        <w:rPr>
          <w:rFonts w:ascii="Times New Roman" w:eastAsia="Times New Roman" w:hAnsi="Times New Roman" w:cs="Times New Roman"/>
          <w:lang w:bidi="es-ES"/>
        </w:rPr>
        <w:t>“</w:t>
      </w:r>
      <w:r w:rsidRPr="00AB045F">
        <w:rPr>
          <w:rFonts w:ascii="Times New Roman" w:eastAsia="Times New Roman" w:hAnsi="Times New Roman" w:cs="Times New Roman"/>
          <w:i/>
          <w:lang w:bidi="es-ES"/>
        </w:rPr>
        <w:t>(</w:t>
      </w:r>
      <w:r>
        <w:rPr>
          <w:rFonts w:ascii="Times New Roman" w:eastAsia="Times New Roman" w:hAnsi="Times New Roman" w:cs="Times New Roman"/>
          <w:i/>
          <w:lang w:bidi="es-ES"/>
        </w:rPr>
        <w:t>V</w:t>
      </w:r>
      <w:r w:rsidRPr="00AB045F">
        <w:rPr>
          <w:rFonts w:ascii="Times New Roman" w:eastAsia="Times New Roman" w:hAnsi="Times New Roman" w:cs="Times New Roman"/>
          <w:i/>
          <w:lang w:bidi="es-ES"/>
        </w:rPr>
        <w:t xml:space="preserve">) </w:t>
      </w:r>
      <w:r>
        <w:rPr>
          <w:rFonts w:ascii="Times New Roman" w:eastAsia="Times New Roman" w:hAnsi="Times New Roman" w:cs="Times New Roman"/>
          <w:i/>
          <w:lang w:bidi="es-ES"/>
        </w:rPr>
        <w:t>Términos y Condiciones Adicionales</w:t>
      </w:r>
      <w:r w:rsidRPr="00AB045F">
        <w:rPr>
          <w:rFonts w:ascii="Times New Roman" w:eastAsia="Times New Roman" w:hAnsi="Times New Roman" w:cs="Times New Roman"/>
          <w:i/>
          <w:lang w:bidi="es-ES"/>
        </w:rPr>
        <w:t xml:space="preserve"> de las Obligaciones Negociables</w:t>
      </w:r>
      <w:r>
        <w:rPr>
          <w:rFonts w:ascii="Times New Roman" w:eastAsia="Times New Roman" w:hAnsi="Times New Roman" w:cs="Times New Roman"/>
          <w:i/>
          <w:lang w:bidi="es-ES"/>
        </w:rPr>
        <w:t xml:space="preserve"> – Supuestos de Incumplimiento</w:t>
      </w:r>
      <w:r>
        <w:rPr>
          <w:rFonts w:ascii="Times New Roman" w:eastAsia="Times New Roman" w:hAnsi="Times New Roman" w:cs="Times New Roman"/>
          <w:lang w:bidi="es-ES"/>
        </w:rPr>
        <w:t>”</w:t>
      </w:r>
      <w:r>
        <w:rPr>
          <w:rFonts w:ascii="Times New Roman" w:eastAsia="Times New Roman" w:hAnsi="Times New Roman" w:cs="Times New Roman"/>
          <w:i/>
          <w:lang w:bidi="es-ES"/>
        </w:rPr>
        <w:t xml:space="preserve"> </w:t>
      </w:r>
      <w:r w:rsidRPr="00434311">
        <w:rPr>
          <w:rFonts w:ascii="Times New Roman" w:eastAsia="Times New Roman" w:hAnsi="Times New Roman" w:cs="Times New Roman"/>
          <w:lang w:val="es-AR" w:bidi="es-ES"/>
        </w:rPr>
        <w:t>de</w:t>
      </w:r>
      <w:r>
        <w:rPr>
          <w:rFonts w:ascii="Times New Roman" w:eastAsia="Times New Roman" w:hAnsi="Times New Roman" w:cs="Times New Roman"/>
          <w:lang w:val="es-AR" w:bidi="es-ES"/>
        </w:rPr>
        <w:t xml:space="preserve"> </w:t>
      </w:r>
      <w:r w:rsidRPr="00434311">
        <w:rPr>
          <w:rFonts w:ascii="Times New Roman" w:eastAsia="Times New Roman" w:hAnsi="Times New Roman" w:cs="Times New Roman"/>
          <w:lang w:val="es-AR" w:bidi="es-ES"/>
        </w:rPr>
        <w:t>l</w:t>
      </w:r>
      <w:r>
        <w:rPr>
          <w:rFonts w:ascii="Times New Roman" w:eastAsia="Times New Roman" w:hAnsi="Times New Roman" w:cs="Times New Roman"/>
          <w:lang w:val="es-AR" w:bidi="es-ES"/>
        </w:rPr>
        <w:t>a</w:t>
      </w:r>
      <w:r w:rsidRPr="00434311">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Tercer Adenda,</w:t>
      </w:r>
      <w:r w:rsidRPr="00434311">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se reemplazará</w:t>
      </w:r>
      <w:r w:rsidRPr="006A138C">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 xml:space="preserve">íntegramente </w:t>
      </w:r>
      <w:r>
        <w:rPr>
          <w:rFonts w:ascii="Times New Roman" w:hAnsi="Times New Roman" w:cs="Times New Roman"/>
          <w:lang w:bidi="es-ES"/>
        </w:rPr>
        <w:t>el inciso donde se encontraba dicha referencia</w:t>
      </w:r>
      <w:r w:rsidRPr="006A138C">
        <w:rPr>
          <w:rFonts w:ascii="Times New Roman" w:hAnsi="Times New Roman" w:cs="Times New Roman"/>
          <w:lang w:bidi="es-ES"/>
        </w:rPr>
        <w:t xml:space="preserve"> de modo tal que</w:t>
      </w:r>
      <w:r>
        <w:rPr>
          <w:rFonts w:ascii="Times New Roman" w:hAnsi="Times New Roman" w:cs="Times New Roman"/>
          <w:lang w:bidi="es-ES"/>
        </w:rPr>
        <w:t xml:space="preserve"> quede redactado</w:t>
      </w:r>
      <w:r w:rsidRPr="006A138C">
        <w:rPr>
          <w:rFonts w:ascii="Times New Roman" w:hAnsi="Times New Roman" w:cs="Times New Roman"/>
          <w:lang w:bidi="es-ES"/>
        </w:rPr>
        <w:t xml:space="preserve"> de la siguiente manera:</w:t>
      </w:r>
    </w:p>
    <w:p w14:paraId="38A47811" w14:textId="77777777" w:rsidR="005E0114" w:rsidRDefault="005E0114" w:rsidP="005E0114">
      <w:pPr>
        <w:pStyle w:val="Prrafodelista"/>
        <w:spacing w:after="0" w:line="240" w:lineRule="auto"/>
        <w:ind w:leftChars="0" w:left="992" w:firstLineChars="0" w:firstLine="0"/>
        <w:contextualSpacing w:val="0"/>
        <w:jc w:val="both"/>
        <w:rPr>
          <w:rFonts w:ascii="Times New Roman" w:eastAsia="Times New Roman" w:hAnsi="Times New Roman" w:cs="Times New Roman"/>
          <w:lang w:val="es-MX" w:bidi="es-ES"/>
        </w:rPr>
      </w:pPr>
    </w:p>
    <w:p w14:paraId="189EF926" w14:textId="77777777" w:rsidR="005E0114" w:rsidRPr="00434311" w:rsidRDefault="005E0114" w:rsidP="005E0114">
      <w:pPr>
        <w:pStyle w:val="Prrafodelista"/>
        <w:numPr>
          <w:ilvl w:val="0"/>
          <w:numId w:val="15"/>
        </w:numPr>
        <w:tabs>
          <w:tab w:val="left" w:pos="993"/>
        </w:tabs>
        <w:spacing w:after="0" w:line="240" w:lineRule="auto"/>
        <w:ind w:leftChars="0" w:firstLineChars="0" w:hanging="357"/>
        <w:jc w:val="both"/>
        <w:rPr>
          <w:rFonts w:ascii="Times New Roman" w:eastAsia="Times New Roman" w:hAnsi="Times New Roman" w:cs="Times New Roman"/>
          <w:i/>
          <w:lang w:val="es-MX" w:bidi="es-ES"/>
        </w:rPr>
      </w:pPr>
      <w:r w:rsidRPr="00434311">
        <w:rPr>
          <w:rFonts w:ascii="Times New Roman" w:eastAsia="Times New Roman" w:hAnsi="Times New Roman" w:cs="Times New Roman"/>
          <w:i/>
          <w:lang w:val="es-MX" w:bidi="es-ES"/>
        </w:rPr>
        <w:t>la</w:t>
      </w:r>
      <w:r>
        <w:rPr>
          <w:rFonts w:ascii="Times New Roman" w:eastAsia="Times New Roman" w:hAnsi="Times New Roman" w:cs="Times New Roman"/>
          <w:i/>
          <w:lang w:val="es-MX" w:bidi="es-ES"/>
        </w:rPr>
        <w:t xml:space="preserve"> falta de entrada en vigencia del </w:t>
      </w:r>
      <w:r w:rsidRPr="00434311">
        <w:rPr>
          <w:rFonts w:ascii="Times New Roman" w:eastAsia="Times New Roman" w:hAnsi="Times New Roman" w:cs="Times New Roman"/>
          <w:i/>
          <w:lang w:val="es-MX" w:bidi="es-ES"/>
        </w:rPr>
        <w:t>Fideicomiso MPN, de las cesiones de derechos que se prevén en el apartado “</w:t>
      </w:r>
      <w:r w:rsidRPr="007742CA">
        <w:rPr>
          <w:rFonts w:ascii="Times New Roman" w:eastAsia="Times New Roman" w:hAnsi="Times New Roman" w:cs="Times New Roman"/>
          <w:i/>
          <w:lang w:val="es-MX" w:bidi="es-ES"/>
        </w:rPr>
        <w:t>(I) “Términos y Condiciones Básicos de las Obligaciones Negociables Clase XVI” de la presente Adenda al Suplemento de Prospecto</w:t>
      </w:r>
      <w:r w:rsidRPr="004D191D">
        <w:rPr>
          <w:rFonts w:ascii="Times New Roman" w:eastAsia="Times New Roman" w:hAnsi="Times New Roman" w:cs="Times New Roman"/>
          <w:i/>
          <w:lang w:val="es-MX" w:bidi="es-ES"/>
        </w:rPr>
        <w:t xml:space="preserve"> en un plazo máximo de los sesenta (60) días hábiles contados a partir de</w:t>
      </w:r>
      <w:r>
        <w:rPr>
          <w:rFonts w:ascii="Times New Roman" w:eastAsia="Times New Roman" w:hAnsi="Times New Roman" w:cs="Times New Roman"/>
          <w:i/>
          <w:lang w:val="es-MX" w:bidi="es-ES"/>
        </w:rPr>
        <w:t xml:space="preserve">l 4 de octubre de 2021; </w:t>
      </w:r>
    </w:p>
    <w:p w14:paraId="25C8D988" w14:textId="77777777" w:rsidR="005E0114" w:rsidRDefault="005E0114" w:rsidP="005E0114">
      <w:pPr>
        <w:spacing w:after="0" w:line="240" w:lineRule="auto"/>
        <w:ind w:leftChars="0" w:left="0" w:firstLineChars="0" w:firstLine="0"/>
        <w:jc w:val="both"/>
        <w:rPr>
          <w:rFonts w:ascii="Times New Roman" w:eastAsia="Times New Roman" w:hAnsi="Times New Roman" w:cs="Times New Roman"/>
          <w:lang w:bidi="es-ES"/>
        </w:rPr>
      </w:pPr>
    </w:p>
    <w:p w14:paraId="254E0F20" w14:textId="77777777" w:rsidR="005E0114" w:rsidRPr="00F71FDE" w:rsidRDefault="005E0114" w:rsidP="005E0114">
      <w:pPr>
        <w:spacing w:after="0" w:line="240" w:lineRule="auto"/>
        <w:ind w:leftChars="0" w:left="0" w:firstLineChars="0" w:firstLine="0"/>
        <w:jc w:val="both"/>
        <w:rPr>
          <w:rFonts w:ascii="Times New Roman" w:eastAsia="Times New Roman" w:hAnsi="Times New Roman" w:cs="Times New Roman"/>
          <w:b/>
          <w:lang w:val="es-AR" w:bidi="es-ES"/>
        </w:rPr>
      </w:pPr>
      <w:r w:rsidRPr="00A34772">
        <w:rPr>
          <w:rFonts w:ascii="Times New Roman" w:eastAsia="Times New Roman" w:hAnsi="Times New Roman" w:cs="Times New Roman"/>
          <w:b/>
          <w:lang w:bidi="es-ES"/>
        </w:rPr>
        <w:t>(b)</w:t>
      </w:r>
      <w:r w:rsidRPr="00A34772">
        <w:rPr>
          <w:rFonts w:ascii="Times New Roman" w:eastAsia="Times New Roman" w:hAnsi="Times New Roman" w:cs="Times New Roman"/>
          <w:lang w:bidi="es-ES"/>
        </w:rPr>
        <w:t xml:space="preserve"> </w:t>
      </w:r>
      <w:r w:rsidRPr="00FC0ECB">
        <w:rPr>
          <w:rFonts w:ascii="Times New Roman" w:eastAsia="Times New Roman" w:hAnsi="Times New Roman" w:cs="Times New Roman"/>
          <w:lang w:bidi="es-ES"/>
        </w:rPr>
        <w:t xml:space="preserve">En caso que la Sociedad obtenga el consentimiento de la Mayoría Necesaria para </w:t>
      </w:r>
      <w:r w:rsidRPr="00A34772">
        <w:rPr>
          <w:rFonts w:ascii="Times New Roman" w:eastAsia="Times New Roman" w:hAnsi="Times New Roman" w:cs="Times New Roman"/>
          <w:bCs/>
          <w:lang w:val="es-AR" w:bidi="es-ES"/>
        </w:rPr>
        <w:t>la Dispensa del Incumplimiento</w:t>
      </w:r>
      <w:r>
        <w:rPr>
          <w:rFonts w:ascii="Times New Roman" w:eastAsia="Times New Roman" w:hAnsi="Times New Roman" w:cs="Times New Roman"/>
          <w:bCs/>
          <w:lang w:val="es-AR" w:bidi="es-ES"/>
        </w:rPr>
        <w:t>, la Conformidad de Pago</w:t>
      </w:r>
      <w:r w:rsidRPr="00FC0ECB">
        <w:rPr>
          <w:rFonts w:ascii="Times New Roman" w:eastAsia="Times New Roman" w:hAnsi="Times New Roman" w:cs="Times New Roman"/>
          <w:bCs/>
          <w:lang w:val="es-AR" w:bidi="es-ES"/>
        </w:rPr>
        <w:t xml:space="preserve"> y</w:t>
      </w:r>
      <w:r w:rsidRPr="00FC0ECB">
        <w:rPr>
          <w:rFonts w:ascii="Times New Roman" w:eastAsia="Times New Roman" w:hAnsi="Times New Roman" w:cs="Times New Roman"/>
          <w:lang w:bidi="es-ES"/>
        </w:rPr>
        <w:t xml:space="preserve"> la Propuesta,</w:t>
      </w:r>
      <w:r w:rsidRPr="00A34772">
        <w:rPr>
          <w:rFonts w:ascii="Times New Roman" w:eastAsia="Times New Roman" w:hAnsi="Times New Roman" w:cs="Times New Roman"/>
          <w:lang w:bidi="es-ES"/>
        </w:rPr>
        <w:t xml:space="preserve"> los Tenedores dejan expresamente</w:t>
      </w:r>
      <w:r w:rsidRPr="00A34772">
        <w:rPr>
          <w:rFonts w:ascii="Times New Roman" w:eastAsia="Times New Roman" w:hAnsi="Times New Roman" w:cs="Times New Roman"/>
          <w:lang w:val="es-AR" w:bidi="es-ES"/>
        </w:rPr>
        <w:t xml:space="preserve"> establecido que si por cualquier circunstancia no </w:t>
      </w:r>
      <w:r>
        <w:rPr>
          <w:rFonts w:ascii="Times New Roman" w:eastAsia="Times New Roman" w:hAnsi="Times New Roman" w:cs="Times New Roman"/>
          <w:lang w:val="es-AR" w:bidi="es-ES"/>
        </w:rPr>
        <w:t>fuera</w:t>
      </w:r>
      <w:r w:rsidRPr="00A34772">
        <w:rPr>
          <w:rFonts w:ascii="Times New Roman" w:eastAsia="Times New Roman" w:hAnsi="Times New Roman" w:cs="Times New Roman"/>
          <w:lang w:val="es-AR" w:bidi="es-ES"/>
        </w:rPr>
        <w:t xml:space="preserve"> posible cancelar la hipoteca en primer grado de privilegio sobre el Inmueble Hudson constituida en favor de Banco </w:t>
      </w:r>
      <w:proofErr w:type="spellStart"/>
      <w:r w:rsidRPr="00A34772">
        <w:rPr>
          <w:rFonts w:ascii="Times New Roman" w:eastAsia="Times New Roman" w:hAnsi="Times New Roman" w:cs="Times New Roman"/>
          <w:lang w:val="es-AR" w:bidi="es-ES"/>
        </w:rPr>
        <w:t>Itaú</w:t>
      </w:r>
      <w:proofErr w:type="spellEnd"/>
      <w:r w:rsidRPr="00A34772">
        <w:rPr>
          <w:rFonts w:ascii="Times New Roman" w:eastAsia="Times New Roman" w:hAnsi="Times New Roman" w:cs="Times New Roman"/>
          <w:lang w:val="es-AR" w:bidi="es-ES"/>
        </w:rPr>
        <w:t xml:space="preserve"> </w:t>
      </w:r>
      <w:r>
        <w:rPr>
          <w:rFonts w:ascii="Times New Roman" w:eastAsia="Times New Roman" w:hAnsi="Times New Roman" w:cs="Times New Roman"/>
          <w:lang w:val="es-AR" w:bidi="es-ES"/>
        </w:rPr>
        <w:t xml:space="preserve">con fecha 19 de diciembre de 2019, en o antes del </w:t>
      </w:r>
      <w:r w:rsidRPr="007A6F11">
        <w:rPr>
          <w:rFonts w:ascii="Times New Roman" w:eastAsia="Times New Roman" w:hAnsi="Times New Roman" w:cs="Times New Roman"/>
          <w:lang w:val="es-AR" w:bidi="es-ES"/>
        </w:rPr>
        <w:t>31 de marzo de 2022</w:t>
      </w:r>
      <w:r w:rsidRPr="002D3935">
        <w:rPr>
          <w:rFonts w:ascii="Times New Roman" w:eastAsia="Times New Roman" w:hAnsi="Times New Roman" w:cs="Times New Roman"/>
          <w:lang w:val="es-AR" w:bidi="es-ES"/>
        </w:rPr>
        <w:t xml:space="preserve"> y, simultáneamente, constituir la Hipoteca Hudson para dar lugar</w:t>
      </w:r>
      <w:r w:rsidRPr="00A34772">
        <w:rPr>
          <w:rFonts w:ascii="Times New Roman" w:eastAsia="Times New Roman" w:hAnsi="Times New Roman" w:cs="Times New Roman"/>
          <w:lang w:val="es-AR" w:bidi="es-ES"/>
        </w:rPr>
        <w:t xml:space="preserve"> a la rescisión del </w:t>
      </w:r>
      <w:r w:rsidRPr="00A34772">
        <w:rPr>
          <w:rFonts w:ascii="Times New Roman" w:eastAsia="Times New Roman" w:hAnsi="Times New Roman" w:cs="Times New Roman"/>
          <w:bCs/>
          <w:lang w:val="es-AR" w:bidi="es-ES"/>
        </w:rPr>
        <w:t xml:space="preserve">acuerdo de cesión pasiva celebrado en virtud de la </w:t>
      </w:r>
      <w:r w:rsidRPr="00A34772">
        <w:rPr>
          <w:rFonts w:ascii="Times New Roman" w:eastAsia="Times New Roman" w:hAnsi="Times New Roman" w:cs="Times New Roman"/>
          <w:bCs/>
          <w:i/>
          <w:lang w:val="es-MX" w:bidi="es-ES"/>
        </w:rPr>
        <w:t>Oferta</w:t>
      </w:r>
      <w:r w:rsidRPr="00FA4E96">
        <w:rPr>
          <w:rFonts w:ascii="Times New Roman" w:eastAsia="Times New Roman" w:hAnsi="Times New Roman" w:cs="Times New Roman"/>
          <w:bCs/>
          <w:i/>
          <w:lang w:val="es-MX" w:bidi="es-ES"/>
        </w:rPr>
        <w:t xml:space="preserve"> de </w:t>
      </w:r>
      <w:r w:rsidRPr="00255CF6">
        <w:rPr>
          <w:rFonts w:ascii="Times New Roman" w:eastAsia="Times New Roman" w:hAnsi="Times New Roman" w:cs="Times New Roman"/>
          <w:bCs/>
          <w:i/>
          <w:lang w:val="es-AR" w:bidi="es-ES"/>
        </w:rPr>
        <w:t>c</w:t>
      </w:r>
      <w:r w:rsidRPr="00A34772">
        <w:rPr>
          <w:rFonts w:ascii="Times New Roman" w:eastAsia="Times New Roman" w:hAnsi="Times New Roman" w:cs="Times New Roman"/>
          <w:bCs/>
          <w:i/>
          <w:lang w:val="es-AR" w:bidi="es-ES"/>
        </w:rPr>
        <w:t>esión pasiva en garantía del Fideicomiso Financiero Privado</w:t>
      </w:r>
      <w:r w:rsidRPr="00A34772">
        <w:rPr>
          <w:rFonts w:ascii="Times New Roman" w:eastAsia="Times New Roman" w:hAnsi="Times New Roman" w:cs="Times New Roman"/>
          <w:bCs/>
          <w:i/>
          <w:iCs/>
          <w:lang w:val="es-AR" w:bidi="es-ES"/>
        </w:rPr>
        <w:t xml:space="preserve"> </w:t>
      </w:r>
      <w:r w:rsidRPr="00A34772">
        <w:rPr>
          <w:rFonts w:ascii="Times New Roman" w:eastAsia="Times New Roman" w:hAnsi="Times New Roman" w:cs="Times New Roman"/>
          <w:bCs/>
          <w:i/>
          <w:lang w:val="es-AR" w:bidi="es-ES"/>
        </w:rPr>
        <w:t>Inmobiliario de Administración “Catalinas I” - Nº 1/</w:t>
      </w:r>
      <w:r w:rsidRPr="00A34772">
        <w:rPr>
          <w:rFonts w:ascii="Times New Roman" w:eastAsia="Times New Roman" w:hAnsi="Times New Roman" w:cs="Times New Roman"/>
          <w:bCs/>
          <w:i/>
          <w:iCs/>
          <w:lang w:val="es-AR" w:bidi="es-ES"/>
        </w:rPr>
        <w:t>2020</w:t>
      </w:r>
      <w:r w:rsidRPr="00A34772">
        <w:rPr>
          <w:rFonts w:ascii="Times New Roman" w:eastAsia="Times New Roman" w:hAnsi="Times New Roman" w:cs="Times New Roman"/>
          <w:bCs/>
          <w:lang w:val="es-AR" w:bidi="es-ES"/>
        </w:rPr>
        <w:t xml:space="preserve"> emitida por TGLT con fecha 11 de febrero de 2020, que fuera aceptada en la misma fecha por </w:t>
      </w:r>
      <w:r w:rsidRPr="00A34772">
        <w:rPr>
          <w:rFonts w:ascii="Times New Roman" w:eastAsia="Times New Roman" w:hAnsi="Times New Roman" w:cs="Times New Roman"/>
          <w:lang w:val="es-AR" w:bidi="es-ES"/>
        </w:rPr>
        <w:t>Banco de Servicios y Transacciones S.A., en su carácter de agente de la garantía</w:t>
      </w:r>
      <w:r w:rsidRPr="00A34772">
        <w:rPr>
          <w:rFonts w:ascii="Times New Roman" w:eastAsia="Times New Roman" w:hAnsi="Times New Roman" w:cs="Times New Roman"/>
          <w:bCs/>
          <w:lang w:val="es-AR" w:bidi="es-ES"/>
        </w:rPr>
        <w:t xml:space="preserve"> (l</w:t>
      </w:r>
      <w:r>
        <w:rPr>
          <w:rFonts w:ascii="Times New Roman" w:eastAsia="Times New Roman" w:hAnsi="Times New Roman" w:cs="Times New Roman"/>
          <w:bCs/>
          <w:lang w:val="es-AR" w:bidi="es-ES"/>
        </w:rPr>
        <w:t>a</w:t>
      </w:r>
      <w:r w:rsidRPr="00A34772">
        <w:rPr>
          <w:rFonts w:ascii="Times New Roman" w:eastAsia="Times New Roman" w:hAnsi="Times New Roman" w:cs="Times New Roman"/>
          <w:bCs/>
          <w:lang w:val="es-AR" w:bidi="es-ES"/>
        </w:rPr>
        <w:t xml:space="preserve"> “</w:t>
      </w:r>
      <w:r w:rsidRPr="008C2FF1">
        <w:rPr>
          <w:rFonts w:ascii="Times New Roman" w:eastAsia="Times New Roman" w:hAnsi="Times New Roman" w:cs="Times New Roman"/>
          <w:bCs/>
          <w:u w:val="single"/>
          <w:lang w:val="es-AR" w:bidi="es-ES"/>
        </w:rPr>
        <w:t>Terminación de la Cesión Pasiva</w:t>
      </w:r>
      <w:r w:rsidRPr="00A34772">
        <w:rPr>
          <w:rFonts w:ascii="Times New Roman" w:eastAsia="Times New Roman" w:hAnsi="Times New Roman" w:cs="Times New Roman"/>
          <w:bCs/>
          <w:lang w:val="es-AR" w:bidi="es-ES"/>
        </w:rPr>
        <w:t>”),</w:t>
      </w:r>
      <w:r>
        <w:rPr>
          <w:rFonts w:ascii="Times New Roman" w:eastAsia="Times New Roman" w:hAnsi="Times New Roman" w:cs="Times New Roman"/>
          <w:bCs/>
          <w:lang w:val="es-AR" w:bidi="es-ES"/>
        </w:rPr>
        <w:t xml:space="preserve"> </w:t>
      </w:r>
      <w:r w:rsidRPr="00F93ED5">
        <w:rPr>
          <w:rFonts w:ascii="Times New Roman" w:hAnsi="Times New Roman"/>
          <w:lang w:val="es-AR"/>
        </w:rPr>
        <w:t>las Manifestaciones de Consentimiento recibidas quedarán automáticamente sin efecto</w:t>
      </w:r>
      <w:r>
        <w:rPr>
          <w:rFonts w:ascii="Times New Roman" w:hAnsi="Times New Roman"/>
          <w:lang w:val="es-AR"/>
        </w:rPr>
        <w:t xml:space="preserve"> y se tendrán por no presentadas y por automáticamente y de pleno derecho vigente el </w:t>
      </w:r>
      <w:proofErr w:type="spellStart"/>
      <w:r w:rsidRPr="007F65F5">
        <w:rPr>
          <w:rFonts w:ascii="Times New Roman" w:hAnsi="Times New Roman"/>
          <w:i/>
          <w:lang w:val="es-AR"/>
        </w:rPr>
        <w:t>status</w:t>
      </w:r>
      <w:proofErr w:type="spellEnd"/>
      <w:r w:rsidRPr="007F65F5">
        <w:rPr>
          <w:rFonts w:ascii="Times New Roman" w:hAnsi="Times New Roman"/>
          <w:i/>
          <w:lang w:val="es-AR"/>
        </w:rPr>
        <w:t xml:space="preserve"> quo ante</w:t>
      </w:r>
      <w:r>
        <w:rPr>
          <w:rFonts w:ascii="Times New Roman" w:hAnsi="Times New Roman"/>
          <w:lang w:val="es-AR"/>
        </w:rPr>
        <w:t xml:space="preserve"> a la Propuesta y, en consecuencia,</w:t>
      </w:r>
      <w:r w:rsidRPr="00A34772">
        <w:rPr>
          <w:rFonts w:ascii="Times New Roman" w:eastAsia="Times New Roman" w:hAnsi="Times New Roman" w:cs="Times New Roman"/>
          <w:bCs/>
          <w:lang w:val="es-AR" w:bidi="es-ES"/>
        </w:rPr>
        <w:t xml:space="preserve"> </w:t>
      </w:r>
      <w:r>
        <w:rPr>
          <w:rFonts w:ascii="Times New Roman" w:eastAsia="Times New Roman" w:hAnsi="Times New Roman" w:cs="Times New Roman"/>
          <w:lang w:val="es-AR" w:bidi="es-ES"/>
        </w:rPr>
        <w:t xml:space="preserve">el consentimiento de la Mayoría Necesaria para </w:t>
      </w:r>
      <w:r w:rsidRPr="00A34772">
        <w:rPr>
          <w:rFonts w:ascii="Times New Roman" w:eastAsia="Times New Roman" w:hAnsi="Times New Roman" w:cs="Times New Roman"/>
          <w:bCs/>
          <w:lang w:val="es-AR" w:bidi="es-ES"/>
        </w:rPr>
        <w:t>la Dispensa del Incu</w:t>
      </w:r>
      <w:r>
        <w:rPr>
          <w:rFonts w:ascii="Times New Roman" w:eastAsia="Times New Roman" w:hAnsi="Times New Roman" w:cs="Times New Roman"/>
          <w:bCs/>
          <w:lang w:val="es-AR" w:bidi="es-ES"/>
        </w:rPr>
        <w:t xml:space="preserve">mplimiento, la Conformidad de Pago y </w:t>
      </w:r>
      <w:r w:rsidRPr="00A34772">
        <w:rPr>
          <w:rFonts w:ascii="Times New Roman" w:eastAsia="Times New Roman" w:hAnsi="Times New Roman" w:cs="Times New Roman"/>
          <w:bCs/>
          <w:lang w:val="es-AR" w:bidi="es-ES"/>
        </w:rPr>
        <w:t xml:space="preserve">la Propuesta </w:t>
      </w:r>
      <w:r w:rsidRPr="00A34772">
        <w:rPr>
          <w:rFonts w:ascii="Times New Roman" w:eastAsia="Times New Roman" w:hAnsi="Times New Roman" w:cs="Times New Roman"/>
          <w:lang w:val="es-AR" w:bidi="es-ES"/>
        </w:rPr>
        <w:t>carecerá de todo efecto y validez</w:t>
      </w:r>
      <w:r>
        <w:rPr>
          <w:rFonts w:ascii="Times New Roman" w:eastAsia="Times New Roman" w:hAnsi="Times New Roman" w:cs="Times New Roman"/>
          <w:lang w:val="es-AR" w:bidi="es-ES"/>
        </w:rPr>
        <w:t xml:space="preserve"> y </w:t>
      </w:r>
      <w:r w:rsidRPr="00A34772">
        <w:rPr>
          <w:rFonts w:ascii="Times New Roman" w:eastAsia="Times New Roman" w:hAnsi="Times New Roman" w:cs="Times New Roman"/>
          <w:lang w:val="es-AR" w:bidi="es-ES"/>
        </w:rPr>
        <w:t>se tendr</w:t>
      </w:r>
      <w:r>
        <w:rPr>
          <w:rFonts w:ascii="Times New Roman" w:eastAsia="Times New Roman" w:hAnsi="Times New Roman" w:cs="Times New Roman"/>
          <w:lang w:val="es-AR" w:bidi="es-ES"/>
        </w:rPr>
        <w:t>á por</w:t>
      </w:r>
      <w:r w:rsidRPr="00A34772">
        <w:rPr>
          <w:rFonts w:ascii="Times New Roman" w:eastAsia="Times New Roman" w:hAnsi="Times New Roman" w:cs="Times New Roman"/>
          <w:lang w:val="es-AR" w:bidi="es-ES"/>
        </w:rPr>
        <w:t xml:space="preserve"> no otorgado, sin responsabilidad alguna para la Sociedad</w:t>
      </w:r>
      <w:r>
        <w:rPr>
          <w:rFonts w:ascii="Times New Roman" w:eastAsia="Times New Roman" w:hAnsi="Times New Roman" w:cs="Times New Roman"/>
          <w:lang w:val="es-AR" w:bidi="es-ES"/>
        </w:rPr>
        <w:t xml:space="preserve"> ni para los Tenedores (la “</w:t>
      </w:r>
      <w:r w:rsidRPr="008C2FF1">
        <w:rPr>
          <w:rFonts w:ascii="Times New Roman" w:eastAsia="Times New Roman" w:hAnsi="Times New Roman" w:cs="Times New Roman"/>
          <w:u w:val="single"/>
          <w:lang w:val="es-AR" w:bidi="es-ES"/>
        </w:rPr>
        <w:t>Condición Resolutoria</w:t>
      </w:r>
      <w:r>
        <w:rPr>
          <w:rFonts w:ascii="Times New Roman" w:eastAsia="Times New Roman" w:hAnsi="Times New Roman" w:cs="Times New Roman"/>
          <w:lang w:val="es-AR" w:bidi="es-ES"/>
        </w:rPr>
        <w:t>”)</w:t>
      </w:r>
      <w:r w:rsidRPr="00A34772">
        <w:rPr>
          <w:rFonts w:ascii="Times New Roman" w:eastAsia="Times New Roman" w:hAnsi="Times New Roman" w:cs="Times New Roman"/>
          <w:lang w:val="es-AR" w:bidi="es-ES"/>
        </w:rPr>
        <w:t>.</w:t>
      </w:r>
      <w:r>
        <w:rPr>
          <w:rFonts w:ascii="Times New Roman" w:eastAsia="Times New Roman" w:hAnsi="Times New Roman" w:cs="Times New Roman"/>
          <w:lang w:val="es-AR" w:bidi="es-ES"/>
        </w:rPr>
        <w:t xml:space="preserve"> </w:t>
      </w:r>
    </w:p>
    <w:p w14:paraId="3EA6F480" w14:textId="77777777" w:rsidR="005E0114" w:rsidRPr="00984D02" w:rsidRDefault="005E0114" w:rsidP="005E0114">
      <w:pPr>
        <w:spacing w:after="0" w:line="240" w:lineRule="auto"/>
        <w:ind w:leftChars="0" w:left="0" w:firstLineChars="0" w:firstLine="0"/>
        <w:jc w:val="both"/>
        <w:rPr>
          <w:rFonts w:ascii="Times New Roman" w:eastAsia="Times New Roman" w:hAnsi="Times New Roman" w:cs="Times New Roman"/>
          <w:lang w:bidi="es-ES"/>
        </w:rPr>
      </w:pPr>
    </w:p>
    <w:p w14:paraId="25FE9CFB" w14:textId="77777777" w:rsidR="005E0114" w:rsidRPr="009E6887" w:rsidRDefault="005E0114" w:rsidP="005E0114">
      <w:pPr>
        <w:spacing w:after="0" w:line="240" w:lineRule="auto"/>
        <w:ind w:left="-2" w:firstLineChars="0" w:firstLine="0"/>
        <w:jc w:val="both"/>
        <w:rPr>
          <w:rFonts w:ascii="Times New Roman" w:eastAsia="Times New Roman" w:hAnsi="Times New Roman" w:cs="Times New Roman"/>
        </w:rPr>
      </w:pPr>
      <w:r>
        <w:rPr>
          <w:rFonts w:ascii="Times New Roman" w:eastAsia="Times New Roman" w:hAnsi="Times New Roman" w:cs="Times New Roman"/>
          <w:b/>
          <w:lang w:bidi="es-ES"/>
        </w:rPr>
        <w:t>(c</w:t>
      </w:r>
      <w:r w:rsidRPr="00523952">
        <w:rPr>
          <w:rFonts w:ascii="Times New Roman" w:eastAsia="Times New Roman" w:hAnsi="Times New Roman" w:cs="Times New Roman"/>
          <w:b/>
          <w:lang w:bidi="es-ES"/>
        </w:rPr>
        <w:t>)</w:t>
      </w:r>
      <w:r w:rsidRPr="00523952">
        <w:rPr>
          <w:rFonts w:ascii="Times New Roman" w:eastAsia="Times New Roman" w:hAnsi="Times New Roman" w:cs="Times New Roman"/>
          <w:lang w:bidi="es-ES"/>
        </w:rPr>
        <w:t xml:space="preserve"> </w:t>
      </w:r>
      <w:r w:rsidRPr="00D3494C">
        <w:rPr>
          <w:rFonts w:ascii="Times New Roman" w:eastAsia="Times New Roman" w:hAnsi="Times New Roman" w:cs="Times New Roman"/>
          <w:lang w:bidi="es-ES"/>
        </w:rPr>
        <w:t xml:space="preserve">Establecer que, en caso de que la </w:t>
      </w:r>
      <w:r>
        <w:rPr>
          <w:rFonts w:ascii="Times New Roman" w:eastAsia="Times New Roman" w:hAnsi="Times New Roman" w:cs="Times New Roman"/>
          <w:lang w:bidi="es-ES"/>
        </w:rPr>
        <w:t>Propuesta</w:t>
      </w:r>
      <w:r w:rsidRPr="00D3494C">
        <w:rPr>
          <w:rFonts w:ascii="Times New Roman" w:eastAsia="Times New Roman" w:hAnsi="Times New Roman" w:cs="Times New Roman"/>
          <w:lang w:bidi="es-ES"/>
        </w:rPr>
        <w:t xml:space="preserve"> </w:t>
      </w:r>
      <w:r w:rsidRPr="00D3494C">
        <w:rPr>
          <w:rFonts w:ascii="Times New Roman" w:eastAsia="Times New Roman" w:hAnsi="Times New Roman" w:cs="Times New Roman"/>
        </w:rPr>
        <w:t>obtenga el consentimiento de la Mayoría Necesaria</w:t>
      </w:r>
      <w:r w:rsidRPr="00D3494C">
        <w:rPr>
          <w:rFonts w:ascii="Times New Roman" w:eastAsia="Times New Roman" w:hAnsi="Times New Roman" w:cs="Times New Roman"/>
          <w:lang w:bidi="es-ES"/>
        </w:rPr>
        <w:t>, se u</w:t>
      </w:r>
      <w:r w:rsidRPr="00D3494C">
        <w:rPr>
          <w:rFonts w:ascii="Times New Roman" w:eastAsia="Times New Roman" w:hAnsi="Times New Roman" w:cs="Times New Roman"/>
        </w:rPr>
        <w:t>tilizará</w:t>
      </w:r>
      <w:r w:rsidRPr="005B76C0">
        <w:rPr>
          <w:rFonts w:ascii="Times New Roman" w:eastAsia="Times New Roman" w:hAnsi="Times New Roman" w:cs="Times New Roman"/>
        </w:rPr>
        <w:t xml:space="preserve"> el mecanismo previsto</w:t>
      </w:r>
      <w:r>
        <w:rPr>
          <w:rFonts w:ascii="Times New Roman" w:eastAsia="Times New Roman" w:hAnsi="Times New Roman" w:cs="Times New Roman"/>
        </w:rPr>
        <w:t xml:space="preserve"> </w:t>
      </w:r>
      <w:r w:rsidRPr="001E4225">
        <w:rPr>
          <w:rFonts w:ascii="Times New Roman" w:eastAsia="Times New Roman" w:hAnsi="Times New Roman" w:cs="Times New Roman"/>
          <w:color w:val="000000"/>
          <w:lang w:eastAsia="es-ES"/>
        </w:rPr>
        <w:t>en el apartado “</w:t>
      </w:r>
      <w:r w:rsidRPr="001E4225">
        <w:rPr>
          <w:rFonts w:ascii="Times New Roman" w:eastAsia="Times New Roman" w:hAnsi="Times New Roman" w:cs="Times New Roman"/>
          <w:i/>
          <w:color w:val="000000"/>
          <w:lang w:eastAsia="es-ES"/>
        </w:rPr>
        <w:t>Asamblea - Modificaciones a los Términos y Condiciones esenciales de las Obligaciones Negociables</w:t>
      </w:r>
      <w:r w:rsidRPr="001E4225">
        <w:rPr>
          <w:rFonts w:ascii="Times New Roman" w:eastAsia="Times New Roman" w:hAnsi="Times New Roman" w:cs="Times New Roman"/>
          <w:color w:val="000000"/>
          <w:lang w:eastAsia="es-ES"/>
        </w:rPr>
        <w:t>” de la Sección “</w:t>
      </w:r>
      <w:r w:rsidRPr="001E4225">
        <w:rPr>
          <w:rFonts w:ascii="Times New Roman" w:eastAsia="Times New Roman" w:hAnsi="Times New Roman" w:cs="Times New Roman"/>
          <w:i/>
          <w:color w:val="000000"/>
          <w:lang w:eastAsia="es-ES"/>
        </w:rPr>
        <w:t>Términos y Condiciones Adicionales de las Obligaciones Negociables</w:t>
      </w:r>
      <w:r w:rsidRPr="001E4225">
        <w:rPr>
          <w:rFonts w:ascii="Times New Roman" w:eastAsia="Times New Roman" w:hAnsi="Times New Roman" w:cs="Times New Roman"/>
          <w:color w:val="000000"/>
          <w:lang w:eastAsia="es-ES"/>
        </w:rPr>
        <w:t>” del Suplemento de Prospecto</w:t>
      </w:r>
      <w:r w:rsidRPr="001E4225">
        <w:rPr>
          <w:rFonts w:ascii="Times New Roman" w:eastAsia="Times New Roman" w:hAnsi="Times New Roman" w:cs="Times New Roman"/>
          <w:i/>
          <w:iCs/>
          <w:color w:val="000000"/>
          <w:lang w:eastAsia="es-ES"/>
        </w:rPr>
        <w:t>,</w:t>
      </w:r>
      <w:r w:rsidRPr="001E4225">
        <w:rPr>
          <w:rFonts w:ascii="Times New Roman" w:hAnsi="Times New Roman" w:cs="Times New Roman"/>
          <w:b/>
          <w:bCs/>
          <w:color w:val="000000"/>
        </w:rPr>
        <w:t xml:space="preserve"> </w:t>
      </w:r>
      <w:r w:rsidRPr="001E4225">
        <w:rPr>
          <w:rFonts w:ascii="Times New Roman" w:hAnsi="Times New Roman" w:cs="Times New Roman"/>
          <w:bCs/>
          <w:color w:val="000000"/>
        </w:rPr>
        <w:t>y</w:t>
      </w:r>
      <w:r w:rsidRPr="001E4225">
        <w:rPr>
          <w:rFonts w:ascii="Times New Roman" w:hAnsi="Times New Roman"/>
          <w:b/>
          <w:color w:val="000000"/>
        </w:rPr>
        <w:t xml:space="preserve"> </w:t>
      </w:r>
      <w:r w:rsidRPr="001E4225">
        <w:rPr>
          <w:rFonts w:ascii="Times New Roman" w:eastAsia="Times New Roman" w:hAnsi="Times New Roman" w:cs="Times New Roman"/>
          <w:color w:val="000000"/>
          <w:lang w:eastAsia="es-ES"/>
        </w:rPr>
        <w:t>de conformidad con lo previsto por el Artículo 14 de la Ley de Obligaciones Negociables Nº 23.576</w:t>
      </w:r>
      <w:r>
        <w:rPr>
          <w:rFonts w:ascii="Times New Roman" w:eastAsia="Times New Roman" w:hAnsi="Times New Roman" w:cs="Times New Roman"/>
        </w:rPr>
        <w:t xml:space="preserve">, </w:t>
      </w:r>
      <w:r w:rsidRPr="005B76C0">
        <w:rPr>
          <w:rFonts w:ascii="Times New Roman" w:eastAsia="Times New Roman" w:hAnsi="Times New Roman" w:cs="Times New Roman"/>
        </w:rPr>
        <w:t xml:space="preserve">para realizar la modificación de los términos y condiciones de las Obligaciones Negociables, en virtud del cual la Sociedad podrá implementar la Propuesta con respecto a las Obligaciones Negociables, sin necesidad de convocar a una asamblea de obligacionistas, en la medida que los Tenedores </w:t>
      </w:r>
      <w:r>
        <w:rPr>
          <w:rFonts w:ascii="Times New Roman" w:eastAsia="Times New Roman" w:hAnsi="Times New Roman" w:cs="Times New Roman"/>
        </w:rPr>
        <w:t xml:space="preserve">que representen </w:t>
      </w:r>
      <w:r w:rsidRPr="005B76C0">
        <w:rPr>
          <w:rFonts w:ascii="Times New Roman" w:eastAsia="Times New Roman" w:hAnsi="Times New Roman" w:cs="Times New Roman"/>
        </w:rPr>
        <w:t xml:space="preserve">al menos el </w:t>
      </w:r>
      <w:r>
        <w:rPr>
          <w:rFonts w:ascii="Times New Roman" w:eastAsia="Times New Roman" w:hAnsi="Times New Roman" w:cs="Times New Roman"/>
        </w:rPr>
        <w:t>66</w:t>
      </w:r>
      <w:r w:rsidRPr="005B76C0">
        <w:rPr>
          <w:rFonts w:ascii="Times New Roman" w:eastAsia="Times New Roman" w:hAnsi="Times New Roman" w:cs="Times New Roman"/>
        </w:rPr>
        <w:t>% del monto de capital total en circulación de las Obligaciones Negociables, manifiesten su consentimiento de forma fehaciente con respecto a la implementación de la Propuesta</w:t>
      </w:r>
      <w:r w:rsidRPr="009E6887">
        <w:rPr>
          <w:rFonts w:ascii="Times New Roman" w:eastAsia="Times New Roman" w:hAnsi="Times New Roman" w:cs="Times New Roman"/>
        </w:rPr>
        <w:t>.</w:t>
      </w:r>
    </w:p>
    <w:p w14:paraId="33D911CA" w14:textId="77777777" w:rsidR="005E0114" w:rsidRDefault="005E0114" w:rsidP="005E0114">
      <w:pPr>
        <w:spacing w:after="0" w:line="240" w:lineRule="auto"/>
        <w:ind w:left="-2" w:firstLineChars="0" w:firstLine="0"/>
        <w:jc w:val="both"/>
        <w:rPr>
          <w:rFonts w:ascii="Times New Roman" w:eastAsia="Times New Roman" w:hAnsi="Times New Roman" w:cs="Times New Roman"/>
          <w:lang w:bidi="es-ES"/>
        </w:rPr>
      </w:pPr>
    </w:p>
    <w:p w14:paraId="298C4C99" w14:textId="77777777" w:rsidR="005E0114" w:rsidRPr="0040695C" w:rsidRDefault="005E0114" w:rsidP="005E0114">
      <w:pPr>
        <w:spacing w:after="0" w:line="240" w:lineRule="auto"/>
        <w:ind w:left="0" w:hanging="2"/>
        <w:jc w:val="both"/>
        <w:rPr>
          <w:rFonts w:ascii="Times New Roman" w:eastAsia="Times New Roman" w:hAnsi="Times New Roman" w:cs="Times New Roman"/>
          <w:color w:val="000000"/>
          <w:lang w:eastAsia="es-ES"/>
        </w:rPr>
      </w:pPr>
      <w:r w:rsidRPr="0040695C">
        <w:rPr>
          <w:rFonts w:ascii="Times New Roman" w:eastAsia="Times New Roman" w:hAnsi="Times New Roman" w:cs="Times New Roman"/>
          <w:b/>
          <w:lang w:bidi="es-ES"/>
        </w:rPr>
        <w:t>(d)</w:t>
      </w:r>
      <w:r w:rsidRPr="0040695C">
        <w:rPr>
          <w:rFonts w:ascii="Times New Roman" w:eastAsia="Times New Roman" w:hAnsi="Times New Roman" w:cs="Times New Roman"/>
          <w:lang w:bidi="es-ES"/>
        </w:rPr>
        <w:t xml:space="preserve"> </w:t>
      </w:r>
      <w:r w:rsidRPr="0040695C">
        <w:rPr>
          <w:rFonts w:ascii="Times New Roman" w:eastAsia="Times New Roman" w:hAnsi="Times New Roman" w:cs="Times New Roman"/>
        </w:rPr>
        <w:t xml:space="preserve">Requerir a los Tenedores a que, </w:t>
      </w:r>
      <w:r w:rsidRPr="0040695C">
        <w:rPr>
          <w:rFonts w:ascii="Times New Roman" w:eastAsia="Times New Roman" w:hAnsi="Times New Roman" w:cs="Times New Roman"/>
          <w:lang w:bidi="es-ES"/>
        </w:rPr>
        <w:t xml:space="preserve">en caso de que la Propuesta </w:t>
      </w:r>
      <w:r w:rsidRPr="0040695C">
        <w:rPr>
          <w:rFonts w:ascii="Times New Roman" w:eastAsia="Times New Roman" w:hAnsi="Times New Roman" w:cs="Times New Roman"/>
        </w:rPr>
        <w:t xml:space="preserve">obtenga el consentimiento de la Mayoría Necesaria, autoricen </w:t>
      </w:r>
      <w:r>
        <w:rPr>
          <w:rFonts w:ascii="Times New Roman" w:eastAsia="Times New Roman" w:hAnsi="Times New Roman" w:cs="Times New Roman"/>
        </w:rPr>
        <w:t xml:space="preserve">e instruyan </w:t>
      </w:r>
      <w:r w:rsidRPr="0040695C">
        <w:rPr>
          <w:rFonts w:ascii="Times New Roman" w:eastAsia="Times New Roman" w:hAnsi="Times New Roman" w:cs="Times New Roman"/>
        </w:rPr>
        <w:t xml:space="preserve">a </w:t>
      </w:r>
      <w:r>
        <w:rPr>
          <w:rFonts w:ascii="Times New Roman" w:eastAsia="Times New Roman" w:hAnsi="Times New Roman" w:cs="Times New Roman"/>
        </w:rPr>
        <w:t xml:space="preserve">(i) </w:t>
      </w:r>
      <w:r w:rsidRPr="0040695C">
        <w:rPr>
          <w:rFonts w:ascii="Times New Roman" w:eastAsia="Times New Roman" w:hAnsi="Times New Roman" w:cs="Times New Roman"/>
        </w:rPr>
        <w:t xml:space="preserve">los funcionarios de la Sociedad y del agente de la garantía (según corresponda) que ésta designe a </w:t>
      </w:r>
      <w:r>
        <w:rPr>
          <w:rFonts w:ascii="Times New Roman" w:eastAsia="Times New Roman" w:hAnsi="Times New Roman" w:cs="Times New Roman"/>
        </w:rPr>
        <w:t>suscribir</w:t>
      </w:r>
      <w:r w:rsidRPr="0040695C">
        <w:rPr>
          <w:rFonts w:ascii="Times New Roman" w:eastAsia="Times New Roman" w:hAnsi="Times New Roman" w:cs="Times New Roman"/>
        </w:rPr>
        <w:t xml:space="preserve"> toda la documentación que resulte necesaria y/o conveniente para constituir la Hipoteca Hudson; (ii) </w:t>
      </w:r>
      <w:r w:rsidRPr="0040695C">
        <w:rPr>
          <w:rFonts w:ascii="Times New Roman" w:eastAsia="Times New Roman" w:hAnsi="Times New Roman" w:cs="Times New Roman"/>
          <w:lang w:bidi="es-ES"/>
        </w:rPr>
        <w:t>Banco de Servicios y Transacciones S.A.</w:t>
      </w:r>
      <w:r>
        <w:rPr>
          <w:rFonts w:ascii="Times New Roman" w:eastAsia="Times New Roman" w:hAnsi="Times New Roman" w:cs="Times New Roman"/>
          <w:lang w:bidi="es-ES"/>
        </w:rPr>
        <w:t xml:space="preserve"> para que (a), </w:t>
      </w:r>
      <w:r w:rsidRPr="0040695C">
        <w:rPr>
          <w:rFonts w:ascii="Times New Roman" w:eastAsia="Times New Roman" w:hAnsi="Times New Roman" w:cs="Times New Roman"/>
          <w:lang w:bidi="es-ES"/>
        </w:rPr>
        <w:t>en su carácter de agente de la garantía de la Cesión Pasiva,</w:t>
      </w:r>
      <w:r w:rsidRPr="0040695C">
        <w:rPr>
          <w:rFonts w:ascii="Times New Roman" w:eastAsia="Times New Roman" w:hAnsi="Times New Roman" w:cs="Times New Roman"/>
          <w:color w:val="000000"/>
          <w:lang w:eastAsia="es-ES"/>
        </w:rPr>
        <w:t xml:space="preserve"> a </w:t>
      </w:r>
      <w:r w:rsidRPr="0040695C">
        <w:rPr>
          <w:rFonts w:ascii="Times New Roman" w:eastAsia="Times New Roman" w:hAnsi="Times New Roman" w:cs="Times New Roman"/>
          <w:lang w:bidi="es-ES"/>
        </w:rPr>
        <w:t xml:space="preserve">suscribir con la Sociedad </w:t>
      </w:r>
      <w:r w:rsidRPr="0040695C">
        <w:rPr>
          <w:rFonts w:ascii="Times New Roman" w:eastAsia="Times New Roman" w:hAnsi="Times New Roman" w:cs="Times New Roman"/>
        </w:rPr>
        <w:t xml:space="preserve">toda la documentación que resulte necesaria y/o conveniente para </w:t>
      </w:r>
      <w:r>
        <w:rPr>
          <w:rFonts w:ascii="Times New Roman" w:eastAsia="Times New Roman" w:hAnsi="Times New Roman" w:cs="Times New Roman"/>
        </w:rPr>
        <w:t xml:space="preserve">celebrar </w:t>
      </w:r>
      <w:r w:rsidRPr="0040695C">
        <w:rPr>
          <w:rFonts w:ascii="Times New Roman" w:eastAsia="Times New Roman" w:hAnsi="Times New Roman" w:cs="Times New Roman"/>
        </w:rPr>
        <w:t>la Terminación de la Cesión Pasiva</w:t>
      </w:r>
      <w:r>
        <w:rPr>
          <w:rFonts w:ascii="Times New Roman" w:eastAsia="Times New Roman" w:hAnsi="Times New Roman" w:cs="Times New Roman"/>
        </w:rPr>
        <w:t>; (b)</w:t>
      </w:r>
      <w:r>
        <w:rPr>
          <w:rFonts w:ascii="Times New Roman" w:eastAsia="Times New Roman" w:hAnsi="Times New Roman" w:cs="Times New Roman"/>
          <w:lang w:bidi="es-ES"/>
        </w:rPr>
        <w:t>, en carácter de agente de la garantía,</w:t>
      </w:r>
      <w:r w:rsidRPr="00983679">
        <w:rPr>
          <w:rFonts w:ascii="Times New Roman" w:eastAsia="Times New Roman" w:hAnsi="Times New Roman" w:cs="Times New Roman"/>
          <w:lang w:bidi="es-ES"/>
        </w:rPr>
        <w:t xml:space="preserve"> suscriba con la Sociedad</w:t>
      </w:r>
      <w:r>
        <w:rPr>
          <w:rFonts w:ascii="Times New Roman" w:eastAsia="Times New Roman" w:hAnsi="Times New Roman" w:cs="Times New Roman"/>
          <w:lang w:bidi="es-ES"/>
        </w:rPr>
        <w:t xml:space="preserve"> y con Banco </w:t>
      </w:r>
      <w:proofErr w:type="spellStart"/>
      <w:r>
        <w:rPr>
          <w:rFonts w:ascii="Times New Roman" w:eastAsia="Times New Roman" w:hAnsi="Times New Roman" w:cs="Times New Roman"/>
          <w:lang w:bidi="es-ES"/>
        </w:rPr>
        <w:t>Itaú</w:t>
      </w:r>
      <w:proofErr w:type="spellEnd"/>
      <w:r w:rsidRPr="00983679">
        <w:rPr>
          <w:rFonts w:ascii="Times New Roman" w:eastAsia="Times New Roman" w:hAnsi="Times New Roman" w:cs="Times New Roman"/>
          <w:lang w:bidi="es-ES"/>
        </w:rPr>
        <w:t xml:space="preserve"> </w:t>
      </w:r>
      <w:r w:rsidRPr="0040695C">
        <w:rPr>
          <w:rFonts w:ascii="Times New Roman" w:eastAsia="Times New Roman" w:hAnsi="Times New Roman" w:cs="Times New Roman"/>
          <w:lang w:bidi="es-ES"/>
        </w:rPr>
        <w:t xml:space="preserve">toda la documentación que resulte necesaria y/o conveniente para </w:t>
      </w:r>
      <w:r>
        <w:rPr>
          <w:rFonts w:ascii="Times New Roman" w:eastAsia="Times New Roman" w:hAnsi="Times New Roman" w:cs="Times New Roman"/>
          <w:lang w:bidi="es-ES"/>
        </w:rPr>
        <w:t>constituir</w:t>
      </w:r>
      <w:r w:rsidRPr="0040695C">
        <w:rPr>
          <w:rFonts w:ascii="Times New Roman" w:eastAsia="Times New Roman" w:hAnsi="Times New Roman" w:cs="Times New Roman"/>
          <w:lang w:bidi="es-ES"/>
        </w:rPr>
        <w:t xml:space="preserve"> </w:t>
      </w:r>
      <w:r>
        <w:rPr>
          <w:rFonts w:ascii="Times New Roman" w:eastAsia="Times New Roman" w:hAnsi="Times New Roman" w:cs="Times New Roman"/>
          <w:lang w:bidi="es-ES"/>
        </w:rPr>
        <w:t xml:space="preserve">la </w:t>
      </w:r>
      <w:r w:rsidRPr="00983679">
        <w:rPr>
          <w:rFonts w:ascii="Times New Roman" w:eastAsia="Times New Roman" w:hAnsi="Times New Roman" w:cs="Times New Roman"/>
          <w:lang w:bidi="es-ES"/>
        </w:rPr>
        <w:t>Garantía del Pago de Capital de Agosto 2022</w:t>
      </w:r>
      <w:r>
        <w:rPr>
          <w:rFonts w:ascii="Times New Roman" w:eastAsia="Times New Roman" w:hAnsi="Times New Roman" w:cs="Times New Roman"/>
          <w:lang w:bidi="es-ES"/>
        </w:rPr>
        <w:t xml:space="preserve">; y (c) en carácter de Fiduciario MPN, </w:t>
      </w:r>
      <w:r w:rsidRPr="00983679">
        <w:rPr>
          <w:rFonts w:ascii="Times New Roman" w:eastAsia="Times New Roman" w:hAnsi="Times New Roman" w:cs="Times New Roman"/>
          <w:lang w:bidi="es-ES"/>
        </w:rPr>
        <w:t xml:space="preserve">suscriba </w:t>
      </w:r>
      <w:r w:rsidRPr="0040695C">
        <w:rPr>
          <w:rFonts w:ascii="Times New Roman" w:eastAsia="Times New Roman" w:hAnsi="Times New Roman" w:cs="Times New Roman"/>
          <w:lang w:bidi="es-ES"/>
        </w:rPr>
        <w:t>la documentación que resulte necesaria y/o conveniente para</w:t>
      </w:r>
      <w:r>
        <w:rPr>
          <w:rFonts w:ascii="Times New Roman" w:eastAsia="Times New Roman" w:hAnsi="Times New Roman" w:cs="Times New Roman"/>
          <w:lang w:bidi="es-ES"/>
        </w:rPr>
        <w:t xml:space="preserve"> otorgar la Conformidad de Pago, </w:t>
      </w:r>
      <w:r w:rsidRPr="0040695C">
        <w:rPr>
          <w:rFonts w:ascii="Times New Roman" w:eastAsia="Times New Roman" w:hAnsi="Times New Roman" w:cs="Times New Roman"/>
          <w:color w:val="000000"/>
          <w:lang w:eastAsia="es-ES"/>
        </w:rPr>
        <w:t>y cualquier otro documento que evidencie el consentimiento del Tenedor a la Propuesta, y a realizar cualquier otro acto adicional que resulte necesario o conveniente para implementar dichas modificaciones, incluyendo cualquier presentación adicional y la obtención de cualquier certificación notarial, bancaria o judicial de firmas o de personería del Tenedor.</w:t>
      </w:r>
    </w:p>
    <w:p w14:paraId="066357BC"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p>
    <w:p w14:paraId="2C298C15"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En este contexto, a través de esta Solicitud de Consentimiento, la Sociedad solicita a los Tenedores que presten su conformidad irrevocable para aprobar la Propuesta, mediante la suscripción</w:t>
      </w:r>
      <w:r w:rsidRPr="0032028C">
        <w:rPr>
          <w:rFonts w:ascii="Times New Roman" w:hAnsi="Times New Roman" w:cs="Times New Roman"/>
        </w:rPr>
        <w:t xml:space="preserve"> del </w:t>
      </w:r>
      <w:r w:rsidRPr="0032028C">
        <w:rPr>
          <w:rFonts w:ascii="Times New Roman" w:eastAsia="Times New Roman" w:hAnsi="Times New Roman" w:cs="Times New Roman"/>
        </w:rPr>
        <w:t xml:space="preserve">formulario de manifestación de consentimiento que se encuentra adjunto </w:t>
      </w:r>
      <w:r>
        <w:rPr>
          <w:rFonts w:ascii="Times New Roman" w:eastAsia="Times New Roman" w:hAnsi="Times New Roman" w:cs="Times New Roman"/>
        </w:rPr>
        <w:t xml:space="preserve">como </w:t>
      </w:r>
      <w:r w:rsidRPr="00576FCD">
        <w:rPr>
          <w:rFonts w:ascii="Times New Roman" w:eastAsia="Times New Roman" w:hAnsi="Times New Roman" w:cs="Times New Roman"/>
          <w:u w:val="single"/>
        </w:rPr>
        <w:t>Anexo I</w:t>
      </w:r>
      <w:r>
        <w:rPr>
          <w:rFonts w:ascii="Times New Roman" w:eastAsia="Times New Roman" w:hAnsi="Times New Roman" w:cs="Times New Roman"/>
        </w:rPr>
        <w:t xml:space="preserve"> </w:t>
      </w:r>
      <w:r w:rsidRPr="0032028C">
        <w:rPr>
          <w:rFonts w:ascii="Times New Roman" w:eastAsia="Times New Roman" w:hAnsi="Times New Roman" w:cs="Times New Roman"/>
        </w:rPr>
        <w:t>a la presente (la “</w:t>
      </w:r>
      <w:r w:rsidRPr="0032028C">
        <w:rPr>
          <w:rFonts w:ascii="Times New Roman" w:eastAsia="Times New Roman" w:hAnsi="Times New Roman" w:cs="Times New Roman"/>
          <w:u w:val="single"/>
        </w:rPr>
        <w:t>Manifestación de Consentimiento</w:t>
      </w:r>
      <w:r w:rsidRPr="0032028C">
        <w:rPr>
          <w:rFonts w:ascii="Times New Roman" w:eastAsia="Times New Roman" w:hAnsi="Times New Roman" w:cs="Times New Roman"/>
        </w:rPr>
        <w:t>”), y a cuyos términos y condiciones se remite, e incorpora por referencia, esta Solicitud de Consentimiento.</w:t>
      </w:r>
    </w:p>
    <w:p w14:paraId="50EFD1BA" w14:textId="77777777" w:rsidR="005E0114" w:rsidRPr="0032028C" w:rsidRDefault="005E0114" w:rsidP="005E0114">
      <w:pPr>
        <w:spacing w:after="0" w:line="240" w:lineRule="auto"/>
        <w:ind w:leftChars="0" w:left="0" w:firstLineChars="0" w:firstLine="0"/>
        <w:jc w:val="both"/>
        <w:rPr>
          <w:rFonts w:ascii="Times New Roman" w:eastAsia="Times New Roman" w:hAnsi="Times New Roman" w:cs="Times New Roman"/>
          <w:lang w:bidi="es-ES"/>
        </w:rPr>
      </w:pPr>
    </w:p>
    <w:p w14:paraId="1B4DAD15" w14:textId="77777777" w:rsidR="005E0114" w:rsidRPr="0032028C" w:rsidRDefault="005E0114" w:rsidP="005E0114">
      <w:pPr>
        <w:spacing w:after="0" w:line="240" w:lineRule="auto"/>
        <w:ind w:left="0" w:hanging="2"/>
        <w:jc w:val="both"/>
        <w:rPr>
          <w:rFonts w:ascii="Times New Roman" w:eastAsia="Times New Roman" w:hAnsi="Times New Roman" w:cs="Times New Roman"/>
          <w:i/>
          <w:lang w:bidi="es-ES"/>
        </w:rPr>
      </w:pPr>
      <w:r w:rsidRPr="0032028C">
        <w:rPr>
          <w:rFonts w:ascii="Times New Roman" w:eastAsia="Times New Roman" w:hAnsi="Times New Roman" w:cs="Times New Roman"/>
        </w:rPr>
        <w:t xml:space="preserve">A partir de </w:t>
      </w:r>
      <w:r>
        <w:rPr>
          <w:rFonts w:ascii="Times New Roman" w:eastAsia="Times New Roman" w:hAnsi="Times New Roman" w:cs="Times New Roman"/>
        </w:rPr>
        <w:t>la aprobación de la</w:t>
      </w:r>
      <w:r w:rsidRPr="0032028C">
        <w:rPr>
          <w:rFonts w:ascii="Times New Roman" w:eastAsia="Times New Roman" w:hAnsi="Times New Roman" w:cs="Times New Roman"/>
        </w:rPr>
        <w:t xml:space="preserve"> Propuesta</w:t>
      </w:r>
      <w:r>
        <w:rPr>
          <w:rFonts w:ascii="Times New Roman" w:eastAsia="Times New Roman" w:hAnsi="Times New Roman" w:cs="Times New Roman"/>
        </w:rPr>
        <w:t xml:space="preserve"> y siempre y cuando no se configure la Condición Resolutoria</w:t>
      </w:r>
      <w:r w:rsidRPr="0032028C">
        <w:rPr>
          <w:rFonts w:ascii="Times New Roman" w:eastAsia="Times New Roman" w:hAnsi="Times New Roman" w:cs="Times New Roman"/>
        </w:rPr>
        <w:t>, los t</w:t>
      </w:r>
      <w:r>
        <w:rPr>
          <w:rFonts w:ascii="Times New Roman" w:eastAsia="Times New Roman" w:hAnsi="Times New Roman" w:cs="Times New Roman"/>
        </w:rPr>
        <w:t>érminos y condiciones</w:t>
      </w:r>
      <w:r w:rsidRPr="0032028C">
        <w:rPr>
          <w:rFonts w:ascii="Times New Roman" w:eastAsia="Times New Roman" w:hAnsi="Times New Roman" w:cs="Times New Roman"/>
        </w:rPr>
        <w:t xml:space="preserve"> de las Obligaciones Negociables </w:t>
      </w:r>
      <w:r>
        <w:rPr>
          <w:rFonts w:ascii="Times New Roman" w:eastAsia="Times New Roman" w:hAnsi="Times New Roman" w:cs="Times New Roman"/>
        </w:rPr>
        <w:t xml:space="preserve">establecidos en el Suplemento de Prospecto </w:t>
      </w:r>
      <w:r w:rsidRPr="0032028C">
        <w:rPr>
          <w:rFonts w:ascii="Times New Roman" w:eastAsia="Times New Roman" w:hAnsi="Times New Roman" w:cs="Times New Roman"/>
        </w:rPr>
        <w:t>se mantendrán vigentes, excepto por aquellos que sean expresamente modificados</w:t>
      </w:r>
      <w:r>
        <w:rPr>
          <w:rFonts w:ascii="Times New Roman" w:eastAsia="Times New Roman" w:hAnsi="Times New Roman" w:cs="Times New Roman"/>
        </w:rPr>
        <w:t>, suprimidos, eliminados</w:t>
      </w:r>
      <w:r w:rsidRPr="0032028C">
        <w:rPr>
          <w:rFonts w:ascii="Times New Roman" w:eastAsia="Times New Roman" w:hAnsi="Times New Roman" w:cs="Times New Roman"/>
        </w:rPr>
        <w:t xml:space="preserve"> </w:t>
      </w:r>
      <w:r>
        <w:rPr>
          <w:rFonts w:ascii="Times New Roman" w:eastAsia="Times New Roman" w:hAnsi="Times New Roman" w:cs="Times New Roman"/>
        </w:rPr>
        <w:t xml:space="preserve">y/o dispensados </w:t>
      </w:r>
      <w:r w:rsidRPr="0032028C">
        <w:rPr>
          <w:rFonts w:ascii="Times New Roman" w:eastAsia="Times New Roman" w:hAnsi="Times New Roman" w:cs="Times New Roman"/>
        </w:rPr>
        <w:t xml:space="preserve">mediante la </w:t>
      </w:r>
      <w:r>
        <w:rPr>
          <w:rFonts w:ascii="Times New Roman" w:eastAsia="Times New Roman" w:hAnsi="Times New Roman" w:cs="Times New Roman"/>
        </w:rPr>
        <w:t>Propuesta</w:t>
      </w:r>
      <w:r w:rsidRPr="0032028C">
        <w:rPr>
          <w:rFonts w:ascii="Times New Roman" w:eastAsia="Times New Roman" w:hAnsi="Times New Roman" w:cs="Times New Roman"/>
        </w:rPr>
        <w:t>, de acuerdo a lo previsto en esta Solicitud de Consentimiento.</w:t>
      </w:r>
      <w:r>
        <w:rPr>
          <w:rFonts w:ascii="Times New Roman" w:eastAsia="Times New Roman" w:hAnsi="Times New Roman" w:cs="Times New Roman"/>
        </w:rPr>
        <w:t xml:space="preserve"> </w:t>
      </w:r>
      <w:r w:rsidRPr="0032028C">
        <w:rPr>
          <w:rFonts w:ascii="Times New Roman" w:eastAsia="Times New Roman" w:hAnsi="Times New Roman" w:cs="Times New Roman"/>
          <w:color w:val="000000"/>
          <w:lang w:eastAsia="es-ES" w:bidi="es-ES"/>
        </w:rPr>
        <w:t>Los restantes términos del Suplem</w:t>
      </w:r>
      <w:r>
        <w:rPr>
          <w:rFonts w:ascii="Times New Roman" w:eastAsia="Times New Roman" w:hAnsi="Times New Roman" w:cs="Times New Roman"/>
          <w:color w:val="000000"/>
          <w:lang w:eastAsia="es-ES" w:bidi="es-ES"/>
        </w:rPr>
        <w:t>ento de Prospecto no modificados y/o dispensados</w:t>
      </w:r>
      <w:r w:rsidRPr="0032028C">
        <w:rPr>
          <w:rFonts w:ascii="Times New Roman" w:eastAsia="Times New Roman" w:hAnsi="Times New Roman" w:cs="Times New Roman"/>
          <w:color w:val="000000"/>
          <w:lang w:eastAsia="es-ES" w:bidi="es-ES"/>
        </w:rPr>
        <w:t xml:space="preserve"> por la Propuesta seguirán siendo aplicables y se mantendrán vigentes e inalterados.</w:t>
      </w:r>
    </w:p>
    <w:p w14:paraId="0DF5B04F" w14:textId="77777777" w:rsidR="005E0114" w:rsidRPr="0032028C" w:rsidRDefault="005E0114" w:rsidP="005E0114">
      <w:pPr>
        <w:spacing w:after="0" w:line="240" w:lineRule="auto"/>
        <w:ind w:leftChars="0" w:left="0" w:firstLineChars="0" w:firstLine="0"/>
        <w:jc w:val="both"/>
        <w:rPr>
          <w:rFonts w:ascii="Times New Roman" w:eastAsia="Times New Roman" w:hAnsi="Times New Roman" w:cs="Times New Roman"/>
        </w:rPr>
      </w:pPr>
    </w:p>
    <w:p w14:paraId="25798A96" w14:textId="77777777" w:rsidR="005E0114" w:rsidRPr="00F93ED5" w:rsidRDefault="005E0114" w:rsidP="005E0114">
      <w:pPr>
        <w:spacing w:after="0" w:line="240" w:lineRule="auto"/>
        <w:ind w:left="-2" w:firstLineChars="0" w:firstLine="0"/>
        <w:jc w:val="both"/>
        <w:rPr>
          <w:rFonts w:ascii="Times New Roman" w:hAnsi="Times New Roman"/>
        </w:rPr>
      </w:pPr>
      <w:r w:rsidRPr="00F93ED5">
        <w:rPr>
          <w:rFonts w:ascii="Times New Roman" w:hAnsi="Times New Roman"/>
        </w:rPr>
        <w:t xml:space="preserve">En este sentido, se informa al público inversor y a los Tenedores que: </w:t>
      </w:r>
    </w:p>
    <w:p w14:paraId="42C665B3" w14:textId="77777777" w:rsidR="005E0114" w:rsidRPr="00F93ED5" w:rsidRDefault="005E0114" w:rsidP="005E0114">
      <w:pPr>
        <w:spacing w:after="0" w:line="240" w:lineRule="auto"/>
        <w:ind w:left="-2" w:firstLineChars="0" w:firstLine="0"/>
        <w:jc w:val="both"/>
        <w:rPr>
          <w:rFonts w:ascii="Times New Roman" w:hAnsi="Times New Roman"/>
        </w:rPr>
      </w:pPr>
    </w:p>
    <w:p w14:paraId="50384943"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 xml:space="preserve">la Propuesta </w:t>
      </w:r>
      <w:r>
        <w:rPr>
          <w:rFonts w:ascii="Times New Roman" w:hAnsi="Times New Roman"/>
        </w:rPr>
        <w:t>se considerará aprobada por los Tenedores</w:t>
      </w:r>
      <w:r w:rsidRPr="00F93ED5">
        <w:rPr>
          <w:rFonts w:ascii="Times New Roman" w:hAnsi="Times New Roman"/>
        </w:rPr>
        <w:t xml:space="preserve"> en la medida que</w:t>
      </w:r>
      <w:r>
        <w:rPr>
          <w:rFonts w:ascii="Times New Roman" w:hAnsi="Times New Roman"/>
        </w:rPr>
        <w:t xml:space="preserve"> los Tenedores que representen al menos el 66</w:t>
      </w:r>
      <w:r w:rsidRPr="00D60D4C">
        <w:rPr>
          <w:rFonts w:ascii="Times New Roman" w:eastAsia="Times New Roman" w:hAnsi="Times New Roman" w:cs="Times New Roman"/>
          <w:lang w:bidi="es-ES"/>
        </w:rPr>
        <w:t>,00</w:t>
      </w:r>
      <w:r w:rsidRPr="00F93ED5">
        <w:rPr>
          <w:rFonts w:ascii="Times New Roman" w:hAnsi="Times New Roman"/>
        </w:rPr>
        <w:t>% del monto de capital total en circulación de las Obligaciones Negociables (la “</w:t>
      </w:r>
      <w:r w:rsidRPr="00F93ED5">
        <w:rPr>
          <w:rFonts w:ascii="Times New Roman" w:hAnsi="Times New Roman"/>
          <w:u w:val="single"/>
        </w:rPr>
        <w:t>Mayoría Necesaria</w:t>
      </w:r>
      <w:r w:rsidRPr="00F93ED5">
        <w:rPr>
          <w:rFonts w:ascii="Times New Roman" w:hAnsi="Times New Roman"/>
        </w:rPr>
        <w:t>”), manifiesten su consentimiento de forma fehaciente con respecto a la implementación de la Propuesta</w:t>
      </w:r>
      <w:r>
        <w:rPr>
          <w:rFonts w:ascii="Times New Roman" w:hAnsi="Times New Roman"/>
        </w:rPr>
        <w:t>;</w:t>
      </w:r>
    </w:p>
    <w:p w14:paraId="1A5F62E3" w14:textId="77777777" w:rsidR="005E0114" w:rsidRPr="00F93ED5" w:rsidRDefault="005E0114" w:rsidP="005E0114">
      <w:pPr>
        <w:spacing w:after="0" w:line="240" w:lineRule="auto"/>
        <w:ind w:left="-2" w:firstLineChars="0" w:firstLine="0"/>
        <w:jc w:val="both"/>
        <w:rPr>
          <w:rFonts w:ascii="Times New Roman" w:hAnsi="Times New Roman"/>
        </w:rPr>
      </w:pPr>
    </w:p>
    <w:p w14:paraId="5861663F"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los Tenedores que deseen aceptar la Propuesta deberán prestar su consentimiento para que la Sociedad implemente la misma, mediante la suscripción y presentación de su Manifestación de Consentimiento ante la Sociedad</w:t>
      </w:r>
      <w:r w:rsidRPr="00251EF7">
        <w:rPr>
          <w:rFonts w:ascii="Times New Roman" w:eastAsia="Times New Roman" w:hAnsi="Times New Roman" w:cs="Times New Roman"/>
          <w:color w:val="000000"/>
          <w:position w:val="0"/>
          <w:shd w:val="clear" w:color="auto" w:fill="FFFFFF"/>
          <w:lang w:eastAsia="es-ES"/>
        </w:rPr>
        <w:t xml:space="preserve"> </w:t>
      </w:r>
      <w:r w:rsidRPr="00F93ED5">
        <w:rPr>
          <w:rFonts w:ascii="Times New Roman" w:hAnsi="Times New Roman"/>
        </w:rPr>
        <w:t xml:space="preserve">a más tardar el </w:t>
      </w:r>
      <w:r w:rsidRPr="006E507C">
        <w:rPr>
          <w:rFonts w:ascii="Times New Roman" w:hAnsi="Times New Roman"/>
        </w:rPr>
        <w:t>22</w:t>
      </w:r>
      <w:r w:rsidRPr="00434311">
        <w:rPr>
          <w:rFonts w:ascii="Times New Roman" w:hAnsi="Times New Roman"/>
        </w:rPr>
        <w:t xml:space="preserve"> de </w:t>
      </w:r>
      <w:r w:rsidRPr="009501D3">
        <w:rPr>
          <w:rFonts w:ascii="Times New Roman" w:hAnsi="Times New Roman"/>
        </w:rPr>
        <w:t>febrero</w:t>
      </w:r>
      <w:r w:rsidRPr="00434311">
        <w:rPr>
          <w:rFonts w:ascii="Times New Roman" w:hAnsi="Times New Roman"/>
        </w:rPr>
        <w:t xml:space="preserve"> de 2022</w:t>
      </w:r>
      <w:r w:rsidRPr="00F93ED5">
        <w:rPr>
          <w:rFonts w:ascii="Times New Roman" w:hAnsi="Times New Roman"/>
        </w:rPr>
        <w:t xml:space="preserve"> a las 18 horas (la “</w:t>
      </w:r>
      <w:r w:rsidRPr="00F93ED5">
        <w:rPr>
          <w:rFonts w:ascii="Times New Roman" w:hAnsi="Times New Roman"/>
          <w:u w:val="single"/>
        </w:rPr>
        <w:t>Fecha Límite</w:t>
      </w:r>
      <w:r w:rsidRPr="00F93ED5">
        <w:rPr>
          <w:rFonts w:ascii="Times New Roman" w:hAnsi="Times New Roman"/>
        </w:rPr>
        <w:t>”). L</w:t>
      </w:r>
      <w:r w:rsidRPr="00F93ED5">
        <w:rPr>
          <w:rFonts w:ascii="Times New Roman" w:hAnsi="Times New Roman"/>
          <w:lang w:val="es-AR"/>
        </w:rPr>
        <w:t xml:space="preserve">a Sociedad podrá, a su exclusivo criterio y en cualquier momento, extender la Fecha Límite; lo cual deberá ser informado por la Sociedad a través de </w:t>
      </w:r>
      <w:r>
        <w:rPr>
          <w:rFonts w:ascii="Times New Roman" w:hAnsi="Times New Roman"/>
          <w:lang w:val="es-AR"/>
        </w:rPr>
        <w:t xml:space="preserve">una publicación en </w:t>
      </w:r>
      <w:r w:rsidRPr="00F93ED5">
        <w:rPr>
          <w:rFonts w:ascii="Times New Roman" w:hAnsi="Times New Roman"/>
          <w:lang w:val="es-AR"/>
        </w:rPr>
        <w:t xml:space="preserve">la </w:t>
      </w:r>
      <w:r>
        <w:rPr>
          <w:rFonts w:ascii="Times New Roman" w:eastAsia="Times New Roman" w:hAnsi="Times New Roman" w:cs="Times New Roman"/>
          <w:lang w:val="es-AR" w:bidi="es-ES"/>
        </w:rPr>
        <w:t>AIF</w:t>
      </w:r>
      <w:r>
        <w:rPr>
          <w:rFonts w:ascii="Times New Roman" w:hAnsi="Times New Roman"/>
          <w:lang w:val="es-AR"/>
        </w:rPr>
        <w:t>;</w:t>
      </w:r>
      <w:r w:rsidRPr="00F93ED5">
        <w:rPr>
          <w:rFonts w:ascii="Times New Roman" w:hAnsi="Times New Roman"/>
        </w:rPr>
        <w:t xml:space="preserve"> </w:t>
      </w:r>
    </w:p>
    <w:p w14:paraId="2B9C592D" w14:textId="77777777" w:rsidR="005E0114" w:rsidRPr="00F93ED5" w:rsidRDefault="005E0114" w:rsidP="005E0114">
      <w:pPr>
        <w:spacing w:after="0" w:line="240" w:lineRule="auto"/>
        <w:ind w:left="-2" w:firstLineChars="0" w:firstLine="0"/>
        <w:jc w:val="both"/>
        <w:rPr>
          <w:rFonts w:ascii="Times New Roman" w:hAnsi="Times New Roman"/>
        </w:rPr>
      </w:pPr>
    </w:p>
    <w:p w14:paraId="2815E878"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Pr>
          <w:rFonts w:ascii="Times New Roman" w:hAnsi="Times New Roman"/>
        </w:rPr>
        <w:t>en caso que la</w:t>
      </w:r>
      <w:r w:rsidRPr="00F93ED5">
        <w:rPr>
          <w:rFonts w:ascii="Times New Roman" w:hAnsi="Times New Roman"/>
        </w:rPr>
        <w:t xml:space="preserve"> Propuesta no sea aprobada por la Mayoría Necesaria en o antes de la Fecha Límite, </w:t>
      </w:r>
      <w:r>
        <w:rPr>
          <w:rFonts w:ascii="Times New Roman" w:hAnsi="Times New Roman"/>
        </w:rPr>
        <w:t xml:space="preserve">y no se produzca la Dispensa del Incumplimiento, </w:t>
      </w:r>
      <w:r w:rsidRPr="00F93ED5">
        <w:rPr>
          <w:rFonts w:ascii="Times New Roman" w:hAnsi="Times New Roman"/>
        </w:rPr>
        <w:t xml:space="preserve">esta circunstancia podría dar lugar a que la Sociedad incurra </w:t>
      </w:r>
      <w:r>
        <w:rPr>
          <w:rFonts w:ascii="Times New Roman" w:hAnsi="Times New Roman"/>
        </w:rPr>
        <w:t xml:space="preserve">o continúe en situación de incurrir </w:t>
      </w:r>
      <w:r w:rsidRPr="00F93ED5">
        <w:rPr>
          <w:rFonts w:ascii="Times New Roman" w:hAnsi="Times New Roman"/>
        </w:rPr>
        <w:t xml:space="preserve">en eventos </w:t>
      </w:r>
      <w:r>
        <w:rPr>
          <w:rFonts w:ascii="Times New Roman" w:hAnsi="Times New Roman"/>
        </w:rPr>
        <w:t xml:space="preserve">o supuestos </w:t>
      </w:r>
      <w:r w:rsidRPr="00F93ED5">
        <w:rPr>
          <w:rFonts w:ascii="Times New Roman" w:hAnsi="Times New Roman"/>
        </w:rPr>
        <w:t>de incumplimiento bajo</w:t>
      </w:r>
      <w:r>
        <w:rPr>
          <w:rFonts w:ascii="Times New Roman" w:hAnsi="Times New Roman"/>
        </w:rPr>
        <w:t xml:space="preserve"> las Obligaciones Negociables y bajo</w:t>
      </w:r>
      <w:r w:rsidRPr="00F93ED5">
        <w:rPr>
          <w:rFonts w:ascii="Times New Roman" w:hAnsi="Times New Roman"/>
        </w:rPr>
        <w:t xml:space="preserve"> todos o algunos de los otros financiamientos de los cuales la Sociedad es actualmente deudora (algunos de los cuales se encuentran a su vez garantizados por ciertos bienes y/o derechos de la Sociedad y/o de sus subsidiarias), y a que los acreedores de dichos financiamientos dispongan </w:t>
      </w:r>
      <w:r>
        <w:rPr>
          <w:rFonts w:ascii="Times New Roman" w:hAnsi="Times New Roman"/>
        </w:rPr>
        <w:t xml:space="preserve">o puedan disponer </w:t>
      </w:r>
      <w:r w:rsidRPr="00F93ED5">
        <w:rPr>
          <w:rFonts w:ascii="Times New Roman" w:hAnsi="Times New Roman"/>
        </w:rPr>
        <w:t xml:space="preserve">la aceleración </w:t>
      </w:r>
      <w:r>
        <w:rPr>
          <w:rFonts w:ascii="Times New Roman" w:hAnsi="Times New Roman"/>
        </w:rPr>
        <w:t xml:space="preserve">y caducidad de los plazos </w:t>
      </w:r>
      <w:r w:rsidRPr="00F93ED5">
        <w:rPr>
          <w:rFonts w:ascii="Times New Roman" w:hAnsi="Times New Roman"/>
        </w:rPr>
        <w:t xml:space="preserve">de los mismos y requieran a la Sociedad el inmediato pago de la totalidad del capital y los intereses adeudados bajo </w:t>
      </w:r>
      <w:r>
        <w:rPr>
          <w:rFonts w:ascii="Times New Roman" w:hAnsi="Times New Roman"/>
        </w:rPr>
        <w:t>tales financiamientos</w:t>
      </w:r>
      <w:r w:rsidRPr="00F93ED5">
        <w:rPr>
          <w:rFonts w:ascii="Times New Roman" w:hAnsi="Times New Roman"/>
        </w:rPr>
        <w:t>;</w:t>
      </w:r>
    </w:p>
    <w:p w14:paraId="6B840441" w14:textId="77777777" w:rsidR="005E0114" w:rsidRPr="00F93ED5" w:rsidRDefault="005E0114" w:rsidP="005E0114">
      <w:pPr>
        <w:spacing w:after="0" w:line="240" w:lineRule="auto"/>
        <w:ind w:left="-2" w:firstLineChars="0" w:firstLine="0"/>
        <w:jc w:val="both"/>
        <w:rPr>
          <w:rFonts w:ascii="Times New Roman" w:hAnsi="Times New Roman"/>
        </w:rPr>
      </w:pPr>
    </w:p>
    <w:p w14:paraId="42A42873"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lang w:val="es-AR"/>
        </w:rPr>
        <w:t>la Sociedad podrá, a su exclusivo criterio y en cualquier momento, dejar sin efecto la Solicitud de Consentimiento, lo cual implicaría que las Manifestaciones de Consentimiento recibidas quedarán automáticamente sin efecto</w:t>
      </w:r>
      <w:r>
        <w:rPr>
          <w:rFonts w:ascii="Times New Roman" w:hAnsi="Times New Roman"/>
          <w:lang w:val="es-AR"/>
        </w:rPr>
        <w:t>; t</w:t>
      </w:r>
      <w:r w:rsidRPr="00F93ED5">
        <w:rPr>
          <w:rFonts w:ascii="Times New Roman" w:hAnsi="Times New Roman"/>
          <w:lang w:val="es-AR"/>
        </w:rPr>
        <w:t>al circunstancia no generará responsabilidad de ningún tipo para la Sociedad,</w:t>
      </w:r>
      <w:r>
        <w:rPr>
          <w:rFonts w:ascii="Times New Roman" w:hAnsi="Times New Roman"/>
          <w:lang w:val="es-AR"/>
        </w:rPr>
        <w:t xml:space="preserve"> </w:t>
      </w:r>
      <w:r w:rsidRPr="00F93ED5">
        <w:rPr>
          <w:rFonts w:ascii="Times New Roman" w:hAnsi="Times New Roman"/>
          <w:lang w:val="es-AR"/>
        </w:rPr>
        <w:t>ni otorgará a los Tenedores que remitieron dichas Manifestaciones de Consentimiento derecho a compensación ni indemnización alguna</w:t>
      </w:r>
      <w:r>
        <w:rPr>
          <w:rFonts w:ascii="Times New Roman" w:hAnsi="Times New Roman"/>
          <w:lang w:val="es-AR"/>
        </w:rPr>
        <w:t xml:space="preserve"> ni obligará a la</w:t>
      </w:r>
      <w:r w:rsidRPr="00F93ED5">
        <w:rPr>
          <w:rFonts w:ascii="Times New Roman" w:hAnsi="Times New Roman"/>
          <w:lang w:val="es-AR"/>
        </w:rPr>
        <w:t xml:space="preserve"> Sociedad a informar dicha circunstancia de manera individual a cada uno de los Tenedores; </w:t>
      </w:r>
    </w:p>
    <w:p w14:paraId="2EB0A0EA" w14:textId="77777777" w:rsidR="005E0114" w:rsidRPr="00F93ED5" w:rsidRDefault="005E0114" w:rsidP="005E0114">
      <w:pPr>
        <w:pStyle w:val="Prrafodelista"/>
        <w:spacing w:after="0" w:line="240" w:lineRule="auto"/>
        <w:ind w:left="0" w:hanging="2"/>
        <w:rPr>
          <w:rFonts w:ascii="Times New Roman" w:hAnsi="Times New Roman"/>
        </w:rPr>
      </w:pPr>
    </w:p>
    <w:p w14:paraId="491A0261"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cada Tenedor, antes de tomar cualquier decisión respecto a la Solicitud de Consentimiento</w:t>
      </w:r>
      <w:r>
        <w:rPr>
          <w:rFonts w:ascii="Times New Roman" w:hAnsi="Times New Roman"/>
        </w:rPr>
        <w:t xml:space="preserve"> y/o la </w:t>
      </w:r>
      <w:r w:rsidRPr="00F93ED5">
        <w:rPr>
          <w:rFonts w:ascii="Times New Roman" w:hAnsi="Times New Roman"/>
        </w:rPr>
        <w:t>Propuesta, deberá hacer su propia evaluación independiente con respecto a la información contenida en el Prospecto, el Suplemento de Prospecto, esta Solicitud de</w:t>
      </w:r>
      <w:r>
        <w:rPr>
          <w:rFonts w:ascii="Times New Roman" w:hAnsi="Times New Roman"/>
        </w:rPr>
        <w:t xml:space="preserve"> Consentimiento, la</w:t>
      </w:r>
      <w:r w:rsidRPr="00F93ED5">
        <w:rPr>
          <w:rFonts w:ascii="Times New Roman" w:hAnsi="Times New Roman"/>
        </w:rPr>
        <w:t xml:space="preserve"> Propuesta, la Manifestación de Consentimiento, y de los beneficios y riesgos involucrados; debiendo consultar con sus propios asesores respecto de los aspectos legales, comerciales, financieros, impositivos y/o de otro tipo relacionados con su inversión en las Obligaciones N</w:t>
      </w:r>
      <w:r>
        <w:rPr>
          <w:rFonts w:ascii="Times New Roman" w:hAnsi="Times New Roman"/>
        </w:rPr>
        <w:t xml:space="preserve">egociables, con la </w:t>
      </w:r>
      <w:r w:rsidRPr="00F93ED5">
        <w:rPr>
          <w:rFonts w:ascii="Times New Roman" w:hAnsi="Times New Roman"/>
        </w:rPr>
        <w:t>Propuesta y con la Manifestación de Consentimiento;</w:t>
      </w:r>
    </w:p>
    <w:p w14:paraId="05DA271F" w14:textId="77777777" w:rsidR="005E0114" w:rsidRPr="00F93ED5" w:rsidRDefault="005E0114" w:rsidP="005E0114">
      <w:pPr>
        <w:spacing w:after="0" w:line="240" w:lineRule="auto"/>
        <w:ind w:left="-2" w:firstLineChars="0" w:firstLine="0"/>
        <w:jc w:val="both"/>
        <w:rPr>
          <w:rFonts w:ascii="Times New Roman" w:hAnsi="Times New Roman"/>
        </w:rPr>
      </w:pPr>
    </w:p>
    <w:p w14:paraId="1D1B889C"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la Solicitud de Consentimiento de la Sociedad no implica recomendación ni sugerencia de la Sociedad ni de cualquier agente u organizador o asesor financiero al inversor para que otorgue su Manifestación de Consentimiento, y nada de lo expresado en la presente debe ser interpretado como asesoramiento legal, comercial, financiero, impositivo y/o de otro tipo por parte de la Sociedad ni de cualquier agente u organizador o asesor financiero;</w:t>
      </w:r>
    </w:p>
    <w:p w14:paraId="445492ED" w14:textId="77777777" w:rsidR="005E0114" w:rsidRPr="00F93ED5" w:rsidRDefault="005E0114" w:rsidP="005E0114">
      <w:pPr>
        <w:spacing w:after="0" w:line="240" w:lineRule="auto"/>
        <w:ind w:left="-2" w:firstLineChars="0" w:firstLine="0"/>
        <w:jc w:val="both"/>
        <w:rPr>
          <w:rFonts w:ascii="Times New Roman" w:hAnsi="Times New Roman"/>
        </w:rPr>
      </w:pPr>
    </w:p>
    <w:p w14:paraId="7B956828"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Pr>
          <w:rFonts w:ascii="Times New Roman" w:hAnsi="Times New Roman"/>
        </w:rPr>
        <w:t xml:space="preserve">se </w:t>
      </w:r>
      <w:r w:rsidRPr="00F93ED5">
        <w:rPr>
          <w:rFonts w:ascii="Times New Roman" w:hAnsi="Times New Roman"/>
        </w:rPr>
        <w:t xml:space="preserve">podrá acceder a una copia del Prospecto, del Suplemento del Prospecto, de los estados contables de la Sociedad y de </w:t>
      </w:r>
      <w:r>
        <w:rPr>
          <w:rFonts w:ascii="Times New Roman" w:hAnsi="Times New Roman"/>
        </w:rPr>
        <w:t xml:space="preserve">toda </w:t>
      </w:r>
      <w:r w:rsidRPr="00F93ED5">
        <w:rPr>
          <w:rFonts w:ascii="Times New Roman" w:hAnsi="Times New Roman"/>
        </w:rPr>
        <w:t xml:space="preserve">la información relevante de la Sociedad publicada en la </w:t>
      </w:r>
      <w:r w:rsidRPr="00CF2F9C">
        <w:rPr>
          <w:rFonts w:ascii="Times New Roman" w:eastAsia="Times New Roman" w:hAnsi="Times New Roman" w:cs="Times New Roman"/>
        </w:rPr>
        <w:t>AIF</w:t>
      </w:r>
      <w:r>
        <w:rPr>
          <w:rFonts w:ascii="Times New Roman" w:hAnsi="Times New Roman"/>
        </w:rPr>
        <w:t xml:space="preserve">, </w:t>
      </w:r>
      <w:r w:rsidRPr="00F93ED5">
        <w:rPr>
          <w:rFonts w:ascii="Times New Roman" w:hAnsi="Times New Roman"/>
        </w:rPr>
        <w:t xml:space="preserve">en el </w:t>
      </w:r>
      <w:proofErr w:type="spellStart"/>
      <w:r w:rsidRPr="00CF2F9C">
        <w:rPr>
          <w:rFonts w:ascii="Times New Roman" w:eastAsia="Times New Roman" w:hAnsi="Times New Roman" w:cs="Times New Roman"/>
        </w:rPr>
        <w:t>website</w:t>
      </w:r>
      <w:proofErr w:type="spellEnd"/>
      <w:r w:rsidRPr="00F93ED5">
        <w:rPr>
          <w:rFonts w:ascii="Times New Roman" w:hAnsi="Times New Roman"/>
        </w:rPr>
        <w:t xml:space="preserve"> de </w:t>
      </w:r>
      <w:r w:rsidRPr="00CF2F9C">
        <w:rPr>
          <w:rFonts w:ascii="Times New Roman" w:eastAsia="Times New Roman" w:hAnsi="Times New Roman" w:cs="Times New Roman"/>
        </w:rPr>
        <w:t>B</w:t>
      </w:r>
      <w:r>
        <w:rPr>
          <w:rFonts w:ascii="Times New Roman" w:eastAsia="Times New Roman" w:hAnsi="Times New Roman" w:cs="Times New Roman"/>
        </w:rPr>
        <w:t>olsas y Mercados Argentinos S.A.</w:t>
      </w:r>
      <w:r w:rsidRPr="00F93ED5">
        <w:rPr>
          <w:rFonts w:ascii="Times New Roman" w:hAnsi="Times New Roman"/>
        </w:rPr>
        <w:t xml:space="preserve"> (www.bymadata.com.ar); en el </w:t>
      </w:r>
      <w:r w:rsidRPr="00CF2F9C">
        <w:rPr>
          <w:rFonts w:ascii="Times New Roman" w:eastAsia="Times New Roman" w:hAnsi="Times New Roman" w:cs="Times New Roman"/>
        </w:rPr>
        <w:t>boletín electrónico</w:t>
      </w:r>
      <w:r w:rsidRPr="00F93ED5">
        <w:rPr>
          <w:rFonts w:ascii="Times New Roman" w:hAnsi="Times New Roman"/>
        </w:rPr>
        <w:t xml:space="preserve"> del M</w:t>
      </w:r>
      <w:r>
        <w:rPr>
          <w:rFonts w:ascii="Times New Roman" w:hAnsi="Times New Roman"/>
        </w:rPr>
        <w:t>ercado Abierto Electrónico S.A.</w:t>
      </w:r>
      <w:r w:rsidRPr="00F93ED5">
        <w:rPr>
          <w:rFonts w:ascii="Times New Roman" w:hAnsi="Times New Roman"/>
        </w:rPr>
        <w:t>; en la página web de la Sociedad (</w:t>
      </w:r>
      <w:hyperlink r:id="rId9" w:history="1">
        <w:r w:rsidRPr="00F93ED5">
          <w:rPr>
            <w:rStyle w:val="Hipervnculo"/>
            <w:rFonts w:ascii="Times New Roman" w:hAnsi="Times New Roman"/>
          </w:rPr>
          <w:t>http://ri.tglt.com/</w:t>
        </w:r>
      </w:hyperlink>
      <w:r w:rsidRPr="00F93ED5">
        <w:rPr>
          <w:rFonts w:ascii="Times New Roman" w:hAnsi="Times New Roman"/>
        </w:rPr>
        <w:t xml:space="preserve">); y, siempre que la situación sanitaria y las medidas de aislamiento o distanciamiento social </w:t>
      </w:r>
      <w:r>
        <w:rPr>
          <w:rFonts w:ascii="Times New Roman" w:hAnsi="Times New Roman"/>
        </w:rPr>
        <w:t xml:space="preserve">vigentes establecidas en virtud del COVID-19 </w:t>
      </w:r>
      <w:r w:rsidRPr="00F93ED5">
        <w:rPr>
          <w:rFonts w:ascii="Times New Roman" w:hAnsi="Times New Roman"/>
        </w:rPr>
        <w:t xml:space="preserve">lo permitan, en la sede social de la Sociedad, ubicada en Miñones 2177, planta baja “C”, Ciudad Autónoma de Buenos Aires, Argentina, en días hábiles en el horario de 10:00 a 18:00 horas; y, asimismo, podrá formular todas las preguntas y dudas que tenga con relación con la Propuesta a los representantes de la Sociedad, enviándolas a la siguiente dirección de contacto </w:t>
      </w:r>
      <w:hyperlink r:id="rId10" w:history="1">
        <w:r w:rsidRPr="00D66551">
          <w:rPr>
            <w:rStyle w:val="Hipervnculo"/>
            <w:rFonts w:ascii="Times New Roman" w:hAnsi="Times New Roman"/>
          </w:rPr>
          <w:t>inversores@tglt.com</w:t>
        </w:r>
      </w:hyperlink>
      <w:r w:rsidRPr="00F93ED5">
        <w:rPr>
          <w:rFonts w:ascii="Times New Roman" w:hAnsi="Times New Roman"/>
        </w:rPr>
        <w:t>;</w:t>
      </w:r>
    </w:p>
    <w:p w14:paraId="2DC9D379" w14:textId="77777777" w:rsidR="005E0114" w:rsidRPr="00F93ED5" w:rsidRDefault="005E0114" w:rsidP="005E0114">
      <w:pPr>
        <w:spacing w:after="0" w:line="240" w:lineRule="auto"/>
        <w:ind w:left="-2" w:firstLineChars="0" w:firstLine="0"/>
        <w:jc w:val="both"/>
        <w:rPr>
          <w:rFonts w:ascii="Times New Roman" w:hAnsi="Times New Roman"/>
        </w:rPr>
      </w:pPr>
    </w:p>
    <w:p w14:paraId="32C2960F"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la presente Solicitud de Consentimiento, la Manifestación de Consentimiento y cualesquiera otros docume</w:t>
      </w:r>
      <w:r>
        <w:rPr>
          <w:rFonts w:ascii="Times New Roman" w:hAnsi="Times New Roman"/>
        </w:rPr>
        <w:t>ntos relativos a la</w:t>
      </w:r>
      <w:r w:rsidRPr="00F93ED5">
        <w:rPr>
          <w:rFonts w:ascii="Times New Roman" w:hAnsi="Times New Roman"/>
        </w:rPr>
        <w:t xml:space="preserve"> Propuesta podrá ser suscripta tanto en soporte físico como por cualquier medio electrónico. En todos los instrumentos generados por medios electrónicos, el requisito de la firma de una persona quedará satisfecho si se utiliza una firma electrónica, en cuyo caso se los considera instrumentos privados firmados de acuerdo con lo dispuesto por los artículos 286 y 287 del Código Civil y Comercial de la Nación, y resultarán válidos y vinculantes en todos sus términos y condiciones, y deberán ser considerados como medio fehaciente, aun cuando los mismos sean suscriptos mediante firma electrónica, y tendrán la misma validez que si hubieran sido firmados en soporte físico;</w:t>
      </w:r>
    </w:p>
    <w:p w14:paraId="6E0393C4" w14:textId="77777777" w:rsidR="005E0114" w:rsidRPr="00F93ED5" w:rsidRDefault="005E0114" w:rsidP="005E0114">
      <w:pPr>
        <w:spacing w:after="0" w:line="240" w:lineRule="auto"/>
        <w:ind w:left="-2" w:firstLineChars="0" w:firstLine="0"/>
        <w:jc w:val="both"/>
        <w:rPr>
          <w:rFonts w:ascii="Times New Roman" w:hAnsi="Times New Roman"/>
        </w:rPr>
      </w:pPr>
    </w:p>
    <w:p w14:paraId="1A48A9A3"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rPr>
      </w:pPr>
      <w:r w:rsidRPr="00F93ED5">
        <w:rPr>
          <w:rFonts w:ascii="Times New Roman" w:hAnsi="Times New Roman"/>
        </w:rPr>
        <w:t xml:space="preserve">la presentación de una Manifestación de Consentimiento constituirá un compromiso irrevocable a otorgar aquellos otros documentos y consentimientos que pudieran ser necesarios o </w:t>
      </w:r>
      <w:r w:rsidRPr="00F93ED5">
        <w:rPr>
          <w:rFonts w:ascii="Times New Roman" w:hAnsi="Times New Roman"/>
        </w:rPr>
        <w:lastRenderedPageBreak/>
        <w:t>de cualquier modo requeridos por la Sociedad, a los efectos de implementar válidame</w:t>
      </w:r>
      <w:r>
        <w:rPr>
          <w:rFonts w:ascii="Times New Roman" w:hAnsi="Times New Roman"/>
        </w:rPr>
        <w:t xml:space="preserve">nte la </w:t>
      </w:r>
      <w:r w:rsidRPr="00F93ED5">
        <w:rPr>
          <w:rFonts w:ascii="Times New Roman" w:hAnsi="Times New Roman"/>
        </w:rPr>
        <w:t xml:space="preserve">Propuesta; </w:t>
      </w:r>
    </w:p>
    <w:p w14:paraId="70A08730" w14:textId="77777777" w:rsidR="005E0114" w:rsidRPr="00F93ED5" w:rsidRDefault="005E0114" w:rsidP="005E0114">
      <w:pPr>
        <w:spacing w:after="0" w:line="240" w:lineRule="auto"/>
        <w:ind w:left="-2" w:firstLineChars="0" w:firstLine="0"/>
        <w:jc w:val="both"/>
        <w:rPr>
          <w:rFonts w:ascii="Times New Roman" w:hAnsi="Times New Roman"/>
        </w:rPr>
      </w:pPr>
    </w:p>
    <w:p w14:paraId="596F2663"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color w:val="000000"/>
        </w:rPr>
      </w:pPr>
      <w:r>
        <w:rPr>
          <w:rFonts w:ascii="Times New Roman" w:hAnsi="Times New Roman"/>
        </w:rPr>
        <w:t>mediante la presentación de una Manifestación de Consentimiento los Tenedores reconocen y aceptan:</w:t>
      </w:r>
      <w:r w:rsidRPr="00F93ED5">
        <w:rPr>
          <w:rFonts w:ascii="Times New Roman" w:hAnsi="Times New Roman"/>
        </w:rPr>
        <w:t xml:space="preserve"> (a) </w:t>
      </w:r>
      <w:r>
        <w:rPr>
          <w:rFonts w:ascii="Times New Roman" w:hAnsi="Times New Roman"/>
        </w:rPr>
        <w:t xml:space="preserve">que </w:t>
      </w:r>
      <w:r w:rsidRPr="00F93ED5">
        <w:rPr>
          <w:rFonts w:ascii="Times New Roman" w:hAnsi="Times New Roman"/>
          <w:color w:val="000000"/>
        </w:rPr>
        <w:t>se le</w:t>
      </w:r>
      <w:r>
        <w:rPr>
          <w:rFonts w:ascii="Times New Roman" w:hAnsi="Times New Roman"/>
          <w:color w:val="000000"/>
        </w:rPr>
        <w:t>s</w:t>
      </w:r>
      <w:r w:rsidRPr="00F93ED5">
        <w:rPr>
          <w:rFonts w:ascii="Times New Roman" w:hAnsi="Times New Roman"/>
          <w:color w:val="000000"/>
        </w:rPr>
        <w:t xml:space="preserve"> brinda la oportunidad de solicitar a la Sociedad el examen de toda la información públ</w:t>
      </w:r>
      <w:r>
        <w:rPr>
          <w:rFonts w:ascii="Times New Roman" w:hAnsi="Times New Roman"/>
          <w:color w:val="000000"/>
        </w:rPr>
        <w:t>ica adicional que los Tenedores</w:t>
      </w:r>
      <w:r w:rsidRPr="00F93ED5">
        <w:rPr>
          <w:rFonts w:ascii="Times New Roman" w:hAnsi="Times New Roman"/>
          <w:color w:val="000000"/>
        </w:rPr>
        <w:t xml:space="preserve"> considere</w:t>
      </w:r>
      <w:r>
        <w:rPr>
          <w:rFonts w:ascii="Times New Roman" w:hAnsi="Times New Roman"/>
          <w:color w:val="000000"/>
        </w:rPr>
        <w:t>n</w:t>
      </w:r>
      <w:r w:rsidRPr="00F93ED5">
        <w:rPr>
          <w:rFonts w:ascii="Times New Roman" w:hAnsi="Times New Roman"/>
          <w:color w:val="000000"/>
        </w:rPr>
        <w:t xml:space="preserve"> necesaria para verificar la exactitud de la información contenida en el Prospecto, el Suplemento de Prospecto, los estados contables, la Solicitud de Consentimiento</w:t>
      </w:r>
      <w:r>
        <w:rPr>
          <w:rFonts w:ascii="Times New Roman" w:hAnsi="Times New Roman"/>
          <w:color w:val="000000"/>
        </w:rPr>
        <w:t>, la Propuesta</w:t>
      </w:r>
      <w:r w:rsidRPr="00F93ED5">
        <w:rPr>
          <w:rFonts w:ascii="Times New Roman" w:hAnsi="Times New Roman"/>
          <w:color w:val="000000"/>
        </w:rPr>
        <w:t xml:space="preserve"> y en la Manifestación de Consentimiento; (b) no deberá basarse en la Sociedad, ni en ninguna persona vinculada a la Sociedad, en relación con su investigación de la exactitud de dicha información o su decisión de inversión; (c) ninguna persona ha sido autorizada a suministrar ninguna información o a formular ninguna declaración sobre la Sociedad o las Obligaciones Negociables, salvo por las contenidas en el Suplemento de Prospecto y en la Solicitud de Consentimiento. En caso de que le haya sido o le sea suministrada o formulada, no deberá tenerse a dicha información o declaración como autorizada ni consentida por la Sociedad, ni atribuirse a la Sociedad; y (d) al momento de otorgar su Manifestación de Consentimiento para la implementación de la Propuesta, deberá conocer todas las implicancias que eso conlleva, y reconocer que la obtención de los consentimientos sin necesidad de asamblea resulta un mecanismo válido para adoptar la Propuesta;</w:t>
      </w:r>
      <w:r>
        <w:rPr>
          <w:rFonts w:ascii="Times New Roman" w:hAnsi="Times New Roman"/>
          <w:color w:val="000000"/>
        </w:rPr>
        <w:t xml:space="preserve"> y</w:t>
      </w:r>
    </w:p>
    <w:p w14:paraId="182077D0" w14:textId="77777777" w:rsidR="005E0114" w:rsidRPr="00F93ED5" w:rsidRDefault="005E0114" w:rsidP="005E0114">
      <w:pPr>
        <w:spacing w:after="0" w:line="240" w:lineRule="auto"/>
        <w:ind w:leftChars="0" w:left="0" w:firstLineChars="0" w:firstLine="0"/>
        <w:jc w:val="both"/>
        <w:rPr>
          <w:rFonts w:ascii="Times New Roman" w:hAnsi="Times New Roman"/>
          <w:color w:val="000000"/>
        </w:rPr>
      </w:pPr>
    </w:p>
    <w:p w14:paraId="30A123DB" w14:textId="77777777" w:rsidR="005E0114" w:rsidRPr="00F93ED5" w:rsidRDefault="005E0114" w:rsidP="005E0114">
      <w:pPr>
        <w:pStyle w:val="Prrafodelista"/>
        <w:numPr>
          <w:ilvl w:val="0"/>
          <w:numId w:val="1"/>
        </w:numPr>
        <w:spacing w:after="0" w:line="240" w:lineRule="auto"/>
        <w:ind w:leftChars="0" w:left="0" w:firstLineChars="0" w:firstLine="0"/>
        <w:jc w:val="both"/>
        <w:rPr>
          <w:rFonts w:ascii="Times New Roman" w:hAnsi="Times New Roman"/>
          <w:color w:val="000000"/>
          <w:position w:val="0"/>
        </w:rPr>
      </w:pPr>
      <w:r w:rsidRPr="00F93ED5">
        <w:rPr>
          <w:rFonts w:ascii="Times New Roman" w:hAnsi="Times New Roman"/>
          <w:color w:val="000000"/>
          <w:position w:val="0"/>
        </w:rPr>
        <w:t xml:space="preserve">con excepción de lo dispuesto en el artículo 120 de la Ley N° 26.831 con sus modificatorias y suplementarias, la Sociedad </w:t>
      </w:r>
      <w:r>
        <w:rPr>
          <w:rFonts w:ascii="Times New Roman" w:hAnsi="Times New Roman"/>
          <w:color w:val="000000"/>
          <w:position w:val="0"/>
        </w:rPr>
        <w:t>no asume</w:t>
      </w:r>
      <w:r w:rsidRPr="00F93ED5">
        <w:rPr>
          <w:rFonts w:ascii="Times New Roman" w:hAnsi="Times New Roman"/>
          <w:color w:val="000000"/>
          <w:position w:val="0"/>
        </w:rPr>
        <w:t xml:space="preserve"> ningún tipo de responsabilidad por los daños y perjuicios que pudiera</w:t>
      </w:r>
      <w:r>
        <w:rPr>
          <w:rFonts w:ascii="Times New Roman" w:hAnsi="Times New Roman"/>
          <w:color w:val="000000"/>
          <w:position w:val="0"/>
        </w:rPr>
        <w:t xml:space="preserve">n sufrir </w:t>
      </w:r>
      <w:r w:rsidRPr="00F93ED5">
        <w:rPr>
          <w:rFonts w:ascii="Times New Roman" w:hAnsi="Times New Roman"/>
          <w:color w:val="000000"/>
          <w:position w:val="0"/>
        </w:rPr>
        <w:t>l</w:t>
      </w:r>
      <w:r>
        <w:rPr>
          <w:rFonts w:ascii="Times New Roman" w:hAnsi="Times New Roman"/>
          <w:color w:val="000000"/>
          <w:position w:val="0"/>
        </w:rPr>
        <w:t>os</w:t>
      </w:r>
      <w:r w:rsidRPr="00F93ED5">
        <w:rPr>
          <w:rFonts w:ascii="Times New Roman" w:hAnsi="Times New Roman"/>
          <w:color w:val="000000"/>
          <w:position w:val="0"/>
        </w:rPr>
        <w:t xml:space="preserve"> Tenedor</w:t>
      </w:r>
      <w:r>
        <w:rPr>
          <w:rFonts w:ascii="Times New Roman" w:hAnsi="Times New Roman"/>
          <w:color w:val="000000"/>
          <w:position w:val="0"/>
        </w:rPr>
        <w:t>es</w:t>
      </w:r>
      <w:r w:rsidRPr="00F93ED5">
        <w:rPr>
          <w:rFonts w:ascii="Times New Roman" w:hAnsi="Times New Roman"/>
          <w:color w:val="000000"/>
          <w:position w:val="0"/>
        </w:rPr>
        <w:t>, directa o indirectamente relacionados con la Manifestación del Consentimiento, la Solicitud de Consentimiento y la implementación de la Propuesta, según corresponda, cualesquiera fuere el origen de tales daños y perjuicios.</w:t>
      </w:r>
    </w:p>
    <w:p w14:paraId="30E9525D" w14:textId="77777777" w:rsidR="005E0114" w:rsidRPr="005B76C0" w:rsidRDefault="005E0114" w:rsidP="005E0114">
      <w:pPr>
        <w:spacing w:after="0" w:line="240" w:lineRule="auto"/>
        <w:ind w:left="-2" w:firstLineChars="0" w:firstLine="0"/>
        <w:jc w:val="both"/>
        <w:rPr>
          <w:rFonts w:ascii="Times New Roman" w:eastAsia="Times New Roman" w:hAnsi="Times New Roman" w:cs="Times New Roman"/>
        </w:rPr>
      </w:pPr>
    </w:p>
    <w:p w14:paraId="02099068" w14:textId="77777777" w:rsidR="005E0114" w:rsidRPr="008663AE" w:rsidRDefault="005E0114" w:rsidP="005E0114">
      <w:pPr>
        <w:spacing w:after="0" w:line="240" w:lineRule="auto"/>
        <w:ind w:left="-2" w:firstLineChars="0" w:firstLine="0"/>
        <w:jc w:val="both"/>
        <w:rPr>
          <w:rFonts w:ascii="Times New Roman" w:eastAsia="Times New Roman" w:hAnsi="Times New Roman" w:cs="Times New Roman"/>
        </w:rPr>
      </w:pPr>
      <w:r w:rsidRPr="00092991">
        <w:rPr>
          <w:rFonts w:ascii="Times New Roman" w:eastAsia="Times New Roman" w:hAnsi="Times New Roman" w:cs="Times New Roman"/>
        </w:rPr>
        <w:t>Los Tenedores que deseen remitir a la Sociedad sus Manifestaciones de Consentimiento podrán hacerlo a partir de la fecha de la presente Solicitud de Consentimiento, y hasta la Fecha Límite, a través de cualquiera de las siguientes alternativas: (i) el envío de la Manifestación de Consentimiento firmada a la Sociedad, en soporte papel, al domicilio de Miñones 2177, planta baja “C”, (C1428ATG) Ciudad Autónoma de Buenos Aires, Argentina; o (ii) el envío de la Manifestación de Consentimiento firmada a la Sociedad, en soporte digital, a la dirección de correo electrónico inversores@tglt.com</w:t>
      </w:r>
      <w:r w:rsidRPr="008663AE">
        <w:rPr>
          <w:rFonts w:ascii="Times New Roman" w:eastAsia="Times New Roman" w:hAnsi="Times New Roman" w:cs="Times New Roman"/>
        </w:rPr>
        <w:t>; o (iii) el envío de la Manifestación de Consentimiento a la Sociedad, en soporte digital, a través del agente de negociación o liquidación del Tenedor.</w:t>
      </w:r>
    </w:p>
    <w:p w14:paraId="43F5985C"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p>
    <w:p w14:paraId="3FE2CC34" w14:textId="77777777" w:rsidR="005E0114" w:rsidRPr="0032028C" w:rsidRDefault="005E0114" w:rsidP="005E0114">
      <w:pPr>
        <w:spacing w:after="0" w:line="240" w:lineRule="auto"/>
        <w:ind w:left="0" w:hanging="2"/>
        <w:jc w:val="both"/>
        <w:textAlignment w:val="baseline"/>
        <w:rPr>
          <w:rFonts w:ascii="Times New Roman" w:eastAsia="Times New Roman" w:hAnsi="Times New Roman" w:cs="Times New Roman"/>
          <w:lang w:val="es-MX" w:bidi="es-ES"/>
        </w:rPr>
      </w:pPr>
      <w:r w:rsidRPr="0032028C">
        <w:rPr>
          <w:rFonts w:ascii="Times New Roman" w:eastAsia="Times New Roman" w:hAnsi="Times New Roman" w:cs="Times New Roman"/>
          <w:color w:val="000000"/>
          <w:lang w:eastAsia="es-ES"/>
        </w:rPr>
        <w:t xml:space="preserve">Los Tenedores que remitan Manifestaciones de Consentimiento declaran que dichas Manifestaciones de Consentimiento son irrevocables, no pudiendo revocarse ni retirarse con posterioridad a su presentación (ni siquiera en caso de extensión de la Fecha </w:t>
      </w:r>
      <w:r>
        <w:rPr>
          <w:rFonts w:ascii="Times New Roman" w:eastAsia="Times New Roman" w:hAnsi="Times New Roman" w:cs="Times New Roman"/>
          <w:color w:val="000000"/>
          <w:lang w:eastAsia="es-ES"/>
        </w:rPr>
        <w:t>Límite), excepto en caso que</w:t>
      </w:r>
      <w:r w:rsidRPr="0032028C">
        <w:rPr>
          <w:rFonts w:ascii="Times New Roman" w:eastAsia="Times New Roman" w:hAnsi="Times New Roman" w:cs="Times New Roman"/>
          <w:color w:val="000000"/>
          <w:lang w:eastAsia="es-ES"/>
        </w:rPr>
        <w:t xml:space="preserve"> la Sociedad haga pública una nueva propuesta de modificación de </w:t>
      </w:r>
      <w:r w:rsidRPr="0032028C">
        <w:rPr>
          <w:rFonts w:ascii="Times New Roman" w:eastAsia="Times New Roman" w:hAnsi="Times New Roman" w:cs="Times New Roman"/>
        </w:rPr>
        <w:t xml:space="preserve">ciertos términos y condiciones esenciales y no esenciales de </w:t>
      </w:r>
      <w:r w:rsidRPr="0032028C">
        <w:rPr>
          <w:rFonts w:ascii="Times New Roman" w:eastAsia="Times New Roman" w:hAnsi="Times New Roman" w:cs="Times New Roman"/>
          <w:lang w:bidi="es-ES"/>
        </w:rPr>
        <w:t>las Obligaciones Negociables</w:t>
      </w:r>
      <w:r w:rsidRPr="0032028C">
        <w:rPr>
          <w:rFonts w:ascii="Times New Roman" w:eastAsia="Times New Roman" w:hAnsi="Times New Roman" w:cs="Times New Roman"/>
          <w:color w:val="000000"/>
          <w:lang w:eastAsia="es-ES"/>
        </w:rPr>
        <w:t xml:space="preserve"> (la “</w:t>
      </w:r>
      <w:r w:rsidRPr="0032028C">
        <w:rPr>
          <w:rFonts w:ascii="Times New Roman" w:eastAsia="Times New Roman" w:hAnsi="Times New Roman" w:cs="Times New Roman"/>
          <w:color w:val="000000"/>
          <w:u w:val="single"/>
          <w:lang w:eastAsia="es-ES"/>
        </w:rPr>
        <w:t>Nueva Modificación</w:t>
      </w:r>
      <w:r>
        <w:rPr>
          <w:rFonts w:ascii="Times New Roman" w:eastAsia="Times New Roman" w:hAnsi="Times New Roman" w:cs="Times New Roman"/>
          <w:color w:val="000000"/>
          <w:lang w:eastAsia="es-ES"/>
        </w:rPr>
        <w:t>”);</w:t>
      </w:r>
    </w:p>
    <w:p w14:paraId="7AC0BC02"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p>
    <w:p w14:paraId="4EF97FC1"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La Sociedad determinará todas las cuestiones relativas a la validez, forma, fecha de recepción y recaudos formales de las Manifestaciones de Consentimiento y de la obtención del consentimiento de la Mayoría Necesaria. La interpretación de la</w:t>
      </w:r>
      <w:r>
        <w:rPr>
          <w:rFonts w:ascii="Times New Roman" w:eastAsia="Times New Roman" w:hAnsi="Times New Roman" w:cs="Times New Roman"/>
        </w:rPr>
        <w:t>s</w:t>
      </w:r>
      <w:r w:rsidRPr="0032028C">
        <w:rPr>
          <w:rFonts w:ascii="Times New Roman" w:eastAsia="Times New Roman" w:hAnsi="Times New Roman" w:cs="Times New Roman"/>
        </w:rPr>
        <w:t xml:space="preserve"> Manifestaciones de Consentimiento será efectuada por la Sociedad y</w:t>
      </w:r>
      <w:r>
        <w:rPr>
          <w:rFonts w:ascii="Times New Roman" w:eastAsia="Times New Roman" w:hAnsi="Times New Roman" w:cs="Times New Roman"/>
        </w:rPr>
        <w:t xml:space="preserve"> </w:t>
      </w:r>
      <w:r w:rsidRPr="0032028C">
        <w:rPr>
          <w:rFonts w:ascii="Times New Roman" w:eastAsia="Times New Roman" w:hAnsi="Times New Roman" w:cs="Times New Roman"/>
        </w:rPr>
        <w:t>la</w:t>
      </w:r>
      <w:r>
        <w:rPr>
          <w:rFonts w:ascii="Times New Roman" w:eastAsia="Times New Roman" w:hAnsi="Times New Roman" w:cs="Times New Roman"/>
        </w:rPr>
        <w:t>s</w:t>
      </w:r>
      <w:r w:rsidRPr="0032028C">
        <w:rPr>
          <w:rFonts w:ascii="Times New Roman" w:eastAsia="Times New Roman" w:hAnsi="Times New Roman" w:cs="Times New Roman"/>
        </w:rPr>
        <w:t xml:space="preserve"> Manifestaciones de Consentimiento tendrán carácter definitivo y concluyente, sin que la Sociedad esté obligada a notificar cualquier irregularidad en las presentaciones efectuadas por los Tenedores o sus agentes.</w:t>
      </w:r>
    </w:p>
    <w:p w14:paraId="54A6DFA9"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p>
    <w:p w14:paraId="20DF3A5A"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r w:rsidRPr="0032028C">
        <w:rPr>
          <w:rFonts w:ascii="Times New Roman" w:eastAsia="Times New Roman" w:hAnsi="Times New Roman" w:cs="Times New Roman"/>
        </w:rPr>
        <w:t>Se pone en conocimiento del público inversor que, en caso que la Sociedad obtenga el consentimiento de la Mayoría Necesaria</w:t>
      </w:r>
      <w:r w:rsidRPr="008C2FF1">
        <w:rPr>
          <w:rFonts w:ascii="Times New Roman" w:eastAsia="Times New Roman" w:hAnsi="Times New Roman" w:cs="Times New Roman"/>
        </w:rPr>
        <w:t xml:space="preserve"> </w:t>
      </w:r>
      <w:r>
        <w:rPr>
          <w:rFonts w:ascii="Times New Roman" w:eastAsia="Times New Roman" w:hAnsi="Times New Roman" w:cs="Times New Roman"/>
        </w:rPr>
        <w:t>y siempre y cuando no se configure la Condición Resolutoria</w:t>
      </w:r>
      <w:r w:rsidRPr="0032028C">
        <w:rPr>
          <w:rFonts w:ascii="Times New Roman" w:eastAsia="Times New Roman" w:hAnsi="Times New Roman" w:cs="Times New Roman"/>
        </w:rPr>
        <w:t xml:space="preserve">, </w:t>
      </w:r>
      <w:r>
        <w:rPr>
          <w:rFonts w:ascii="Times New Roman" w:eastAsia="Times New Roman" w:hAnsi="Times New Roman" w:cs="Times New Roman"/>
        </w:rPr>
        <w:t xml:space="preserve">la Dispensa del Incumplimiento, la Conformidad de Pago y </w:t>
      </w:r>
      <w:r w:rsidRPr="0032028C">
        <w:rPr>
          <w:rFonts w:ascii="Times New Roman" w:eastAsia="Times New Roman" w:hAnsi="Times New Roman" w:cs="Times New Roman"/>
        </w:rPr>
        <w:t>la Propuesta será</w:t>
      </w:r>
      <w:r>
        <w:rPr>
          <w:rFonts w:ascii="Times New Roman" w:eastAsia="Times New Roman" w:hAnsi="Times New Roman" w:cs="Times New Roman"/>
        </w:rPr>
        <w:t>n</w:t>
      </w:r>
      <w:r w:rsidRPr="0032028C">
        <w:rPr>
          <w:rFonts w:ascii="Times New Roman" w:eastAsia="Times New Roman" w:hAnsi="Times New Roman" w:cs="Times New Roman"/>
        </w:rPr>
        <w:t xml:space="preserve"> concluyente</w:t>
      </w:r>
      <w:r>
        <w:rPr>
          <w:rFonts w:ascii="Times New Roman" w:eastAsia="Times New Roman" w:hAnsi="Times New Roman" w:cs="Times New Roman"/>
        </w:rPr>
        <w:t>s</w:t>
      </w:r>
      <w:r w:rsidRPr="0032028C">
        <w:rPr>
          <w:rFonts w:ascii="Times New Roman" w:eastAsia="Times New Roman" w:hAnsi="Times New Roman" w:cs="Times New Roman"/>
        </w:rPr>
        <w:t xml:space="preserve"> y obligatoria</w:t>
      </w:r>
      <w:r>
        <w:rPr>
          <w:rFonts w:ascii="Times New Roman" w:eastAsia="Times New Roman" w:hAnsi="Times New Roman" w:cs="Times New Roman"/>
        </w:rPr>
        <w:t>s</w:t>
      </w:r>
      <w:r w:rsidRPr="0032028C">
        <w:rPr>
          <w:rFonts w:ascii="Times New Roman" w:eastAsia="Times New Roman" w:hAnsi="Times New Roman" w:cs="Times New Roman"/>
        </w:rPr>
        <w:t xml:space="preserve"> para todos los Tenedores, hayan efectuado la Manifestación de Consentimiento o no, y también lo será para todos los futuros tenedores de las Obligaciones Negociables. </w:t>
      </w:r>
    </w:p>
    <w:p w14:paraId="2ECE4E03" w14:textId="77777777" w:rsidR="005E0114" w:rsidRPr="0032028C" w:rsidRDefault="005E0114" w:rsidP="005E0114">
      <w:pPr>
        <w:spacing w:after="0" w:line="240" w:lineRule="auto"/>
        <w:ind w:left="-2" w:firstLineChars="0" w:firstLine="0"/>
        <w:jc w:val="both"/>
        <w:rPr>
          <w:rFonts w:ascii="Times New Roman" w:eastAsia="Times New Roman" w:hAnsi="Times New Roman" w:cs="Times New Roman"/>
        </w:rPr>
      </w:pPr>
    </w:p>
    <w:p w14:paraId="3B938F39" w14:textId="77777777" w:rsidR="005E0114" w:rsidRPr="008C39F0" w:rsidRDefault="005E0114" w:rsidP="005E0114">
      <w:pPr>
        <w:spacing w:after="0" w:line="240" w:lineRule="auto"/>
        <w:ind w:left="-2" w:firstLineChars="0" w:firstLine="0"/>
        <w:jc w:val="both"/>
        <w:rPr>
          <w:rFonts w:ascii="Times New Roman" w:eastAsia="Times New Roman" w:hAnsi="Times New Roman" w:cs="Times New Roman"/>
        </w:rPr>
      </w:pPr>
      <w:r w:rsidRPr="008C39F0">
        <w:rPr>
          <w:rFonts w:ascii="Times New Roman" w:eastAsia="Times New Roman" w:hAnsi="Times New Roman" w:cs="Times New Roman"/>
        </w:rPr>
        <w:lastRenderedPageBreak/>
        <w:t>Sin otro particular, saludo a Uds. muy atentamente.</w:t>
      </w:r>
    </w:p>
    <w:p w14:paraId="26EA5826" w14:textId="77777777" w:rsidR="005E0114" w:rsidRPr="00523952" w:rsidRDefault="005E0114" w:rsidP="005E0114">
      <w:pPr>
        <w:spacing w:after="0" w:line="240" w:lineRule="auto"/>
        <w:ind w:left="-2" w:firstLineChars="0" w:firstLine="0"/>
        <w:jc w:val="both"/>
        <w:rPr>
          <w:rFonts w:ascii="Times New Roman" w:eastAsia="Times New Roman" w:hAnsi="Times New Roman" w:cs="Times New Roman"/>
        </w:rPr>
      </w:pPr>
    </w:p>
    <w:p w14:paraId="07446680" w14:textId="77777777" w:rsidR="005E0114" w:rsidRPr="005B76C0" w:rsidRDefault="005E0114" w:rsidP="005E0114">
      <w:pPr>
        <w:spacing w:after="0" w:line="240" w:lineRule="auto"/>
        <w:ind w:left="-2" w:firstLineChars="0" w:firstLine="0"/>
        <w:jc w:val="both"/>
        <w:rPr>
          <w:rFonts w:ascii="Times New Roman" w:eastAsia="Times New Roman" w:hAnsi="Times New Roman" w:cs="Times New Roman"/>
        </w:rPr>
      </w:pPr>
    </w:p>
    <w:p w14:paraId="661CF4EB" w14:textId="77777777" w:rsidR="005E0114" w:rsidRPr="005B76C0" w:rsidRDefault="005E0114" w:rsidP="005E0114">
      <w:pPr>
        <w:spacing w:after="0" w:line="240" w:lineRule="auto"/>
        <w:ind w:left="-2" w:firstLineChars="0" w:firstLine="0"/>
        <w:jc w:val="both"/>
        <w:rPr>
          <w:rFonts w:ascii="Times New Roman" w:eastAsia="Times New Roman" w:hAnsi="Times New Roman" w:cs="Times New Roman"/>
        </w:rPr>
      </w:pPr>
    </w:p>
    <w:p w14:paraId="7FECD2F4" w14:textId="77777777" w:rsidR="005E0114" w:rsidRPr="005B76C0" w:rsidRDefault="005E0114" w:rsidP="005E0114">
      <w:pPr>
        <w:spacing w:after="0" w:line="240" w:lineRule="auto"/>
        <w:ind w:left="-2" w:firstLineChars="0" w:firstLine="0"/>
        <w:jc w:val="both"/>
        <w:rPr>
          <w:rFonts w:ascii="Times New Roman" w:eastAsia="Times New Roman" w:hAnsi="Times New Roman" w:cs="Times New Roman"/>
        </w:rPr>
      </w:pPr>
      <w:r w:rsidRPr="005B76C0">
        <w:rPr>
          <w:rFonts w:ascii="Times New Roman" w:eastAsia="Times New Roman" w:hAnsi="Times New Roman" w:cs="Times New Roman"/>
        </w:rPr>
        <w:t>___________________________</w:t>
      </w:r>
    </w:p>
    <w:p w14:paraId="3B65D6F3" w14:textId="77777777" w:rsidR="005E0114" w:rsidRPr="009E6887" w:rsidRDefault="005E0114" w:rsidP="005E011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Pr>
          <w:rFonts w:ascii="Times New Roman" w:eastAsia="Times New Roman" w:hAnsi="Times New Roman" w:cs="Times New Roman"/>
          <w:color w:val="000000"/>
        </w:rPr>
        <w:t>Daniel Antú</w:t>
      </w:r>
      <w:r w:rsidRPr="005B76C0">
        <w:rPr>
          <w:rFonts w:ascii="Times New Roman" w:eastAsia="Times New Roman" w:hAnsi="Times New Roman" w:cs="Times New Roman"/>
          <w:color w:val="000000"/>
        </w:rPr>
        <w:t>nez</w:t>
      </w:r>
      <w:r w:rsidRPr="005B76C0">
        <w:rPr>
          <w:rFonts w:ascii="Times New Roman" w:hAnsi="Times New Roman" w:cs="Times New Roman"/>
        </w:rPr>
        <w:t xml:space="preserve"> </w:t>
      </w:r>
    </w:p>
    <w:p w14:paraId="4CF3E8F1" w14:textId="77777777" w:rsidR="005E0114" w:rsidRPr="00092991" w:rsidRDefault="005E0114" w:rsidP="005E011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color w:val="000000"/>
        </w:rPr>
      </w:pPr>
      <w:r w:rsidRPr="00092991">
        <w:rPr>
          <w:rFonts w:ascii="Times New Roman" w:eastAsia="Times New Roman" w:hAnsi="Times New Roman" w:cs="Times New Roman"/>
          <w:color w:val="000000"/>
        </w:rPr>
        <w:t>Responsable de Relaciones con el Mercado</w:t>
      </w:r>
    </w:p>
    <w:p w14:paraId="443C3606" w14:textId="77777777" w:rsidR="005E0114" w:rsidRPr="00092991" w:rsidRDefault="005E0114" w:rsidP="005E0114">
      <w:pPr>
        <w:spacing w:after="0" w:line="240" w:lineRule="auto"/>
        <w:ind w:left="-2" w:firstLineChars="0" w:firstLine="0"/>
        <w:jc w:val="both"/>
        <w:rPr>
          <w:rFonts w:ascii="Times New Roman" w:eastAsia="Times New Roman" w:hAnsi="Times New Roman" w:cs="Times New Roman"/>
        </w:rPr>
      </w:pPr>
      <w:r w:rsidRPr="00092991">
        <w:rPr>
          <w:rFonts w:ascii="Times New Roman" w:eastAsia="Times New Roman" w:hAnsi="Times New Roman" w:cs="Times New Roman"/>
          <w:b/>
        </w:rPr>
        <w:t>TGLT S.A.</w:t>
      </w:r>
    </w:p>
    <w:p w14:paraId="54F1612A" w14:textId="77777777" w:rsidR="005E0114" w:rsidRDefault="005E0114" w:rsidP="005E011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r w:rsidRPr="00092991">
        <w:rPr>
          <w:rFonts w:ascii="Times New Roman" w:eastAsia="Times New Roman" w:hAnsi="Times New Roman" w:cs="Times New Roman"/>
          <w:b/>
          <w:color w:val="000000"/>
        </w:rPr>
        <w:t xml:space="preserve"> </w:t>
      </w:r>
    </w:p>
    <w:p w14:paraId="4B29720E" w14:textId="77777777" w:rsidR="005E0114" w:rsidRPr="00092991" w:rsidRDefault="005E0114" w:rsidP="005E0114">
      <w:pPr>
        <w:keepNext/>
        <w:pBdr>
          <w:top w:val="nil"/>
          <w:left w:val="nil"/>
          <w:bottom w:val="nil"/>
          <w:right w:val="nil"/>
          <w:between w:val="nil"/>
        </w:pBdr>
        <w:spacing w:after="0" w:line="240" w:lineRule="auto"/>
        <w:ind w:left="-2" w:firstLineChars="0" w:firstLine="0"/>
        <w:jc w:val="both"/>
        <w:rPr>
          <w:rFonts w:ascii="Times New Roman" w:eastAsia="Times New Roman" w:hAnsi="Times New Roman" w:cs="Times New Roman"/>
          <w:b/>
          <w:color w:val="000000"/>
        </w:rPr>
      </w:pPr>
    </w:p>
    <w:p w14:paraId="10096F36" w14:textId="77777777" w:rsidR="005E0114" w:rsidRDefault="005E0114" w:rsidP="005E0114">
      <w:pPr>
        <w:suppressAutoHyphens w:val="0"/>
        <w:ind w:leftChars="0" w:left="0" w:firstLineChars="0" w:firstLine="0"/>
        <w:textDirection w:val="lrTb"/>
        <w:textAlignment w:val="auto"/>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4FC2237" w14:textId="66F7FE73" w:rsidR="005E0114" w:rsidRDefault="005E0114" w:rsidP="005E0114">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ANEXO I</w:t>
      </w:r>
    </w:p>
    <w:p w14:paraId="1D531888" w14:textId="77777777" w:rsidR="00993085" w:rsidRDefault="00993085" w:rsidP="005E0114">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p>
    <w:p w14:paraId="589C0837" w14:textId="711F6D1B" w:rsidR="00993085" w:rsidRDefault="00993085" w:rsidP="005E0114">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MANIFESTACIÓN DE CONSENTIMIENTO</w:t>
      </w:r>
    </w:p>
    <w:p w14:paraId="74F41180" w14:textId="77777777" w:rsidR="00993085" w:rsidRDefault="00993085" w:rsidP="005E0114">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p>
    <w:p w14:paraId="17E0CCCF" w14:textId="068B0D07" w:rsidR="00993085" w:rsidRPr="00092991" w:rsidRDefault="00F02F40" w:rsidP="005E0114">
      <w:pPr>
        <w:keepNext/>
        <w:pBdr>
          <w:top w:val="nil"/>
          <w:left w:val="nil"/>
          <w:bottom w:val="nil"/>
          <w:right w:val="nil"/>
          <w:between w:val="nil"/>
        </w:pBdr>
        <w:spacing w:after="0" w:line="240" w:lineRule="auto"/>
        <w:ind w:left="-2" w:firstLineChars="0"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object w:dxaOrig="1287" w:dyaOrig="837" w14:anchorId="1F7F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5pt" o:ole="">
            <v:imagedata r:id="rId11" o:title=""/>
          </v:shape>
          <o:OLEObject Type="Embed" ProgID="AcroExch.Document.DC" ShapeID="_x0000_i1025" DrawAspect="Icon" ObjectID="_1706540042" r:id="rId12"/>
        </w:object>
      </w:r>
      <w:bookmarkStart w:id="0" w:name="_GoBack"/>
      <w:bookmarkEnd w:id="0"/>
    </w:p>
    <w:sectPr w:rsidR="00993085" w:rsidRPr="00092991">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403F9" w14:textId="77777777" w:rsidR="000629B5" w:rsidRDefault="000629B5">
      <w:pPr>
        <w:spacing w:after="0" w:line="240" w:lineRule="auto"/>
        <w:ind w:left="0" w:hanging="2"/>
      </w:pPr>
      <w:r>
        <w:separator/>
      </w:r>
    </w:p>
  </w:endnote>
  <w:endnote w:type="continuationSeparator" w:id="0">
    <w:p w14:paraId="5C523EF8" w14:textId="77777777" w:rsidR="000629B5" w:rsidRDefault="000629B5">
      <w:pPr>
        <w:spacing w:after="0" w:line="240" w:lineRule="auto"/>
        <w:ind w:left="0" w:hanging="2"/>
      </w:pPr>
      <w:r>
        <w:continuationSeparator/>
      </w:r>
    </w:p>
  </w:endnote>
  <w:endnote w:type="continuationNotice" w:id="1">
    <w:p w14:paraId="631D19D8" w14:textId="77777777" w:rsidR="000629B5" w:rsidRDefault="000629B5">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DF00" w14:textId="77777777" w:rsidR="00601D53" w:rsidRDefault="00601D53">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8C921" w14:textId="77777777" w:rsidR="00601D53" w:rsidRDefault="00601D53">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8637" w14:textId="77777777" w:rsidR="00601D53" w:rsidRDefault="00601D53">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885E4" w14:textId="77777777" w:rsidR="000629B5" w:rsidRDefault="000629B5">
      <w:pPr>
        <w:spacing w:after="0" w:line="240" w:lineRule="auto"/>
        <w:ind w:left="0" w:hanging="2"/>
      </w:pPr>
      <w:r>
        <w:separator/>
      </w:r>
    </w:p>
  </w:footnote>
  <w:footnote w:type="continuationSeparator" w:id="0">
    <w:p w14:paraId="129033B4" w14:textId="77777777" w:rsidR="000629B5" w:rsidRDefault="000629B5">
      <w:pPr>
        <w:spacing w:after="0" w:line="240" w:lineRule="auto"/>
        <w:ind w:left="0" w:hanging="2"/>
      </w:pPr>
      <w:r>
        <w:continuationSeparator/>
      </w:r>
    </w:p>
  </w:footnote>
  <w:footnote w:type="continuationNotice" w:id="1">
    <w:p w14:paraId="70804E85" w14:textId="77777777" w:rsidR="000629B5" w:rsidRDefault="000629B5">
      <w:pPr>
        <w:spacing w:after="0"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F1C4" w14:textId="77777777" w:rsidR="00601D53" w:rsidRDefault="00601D53">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0" w14:textId="77777777" w:rsidR="00601D53" w:rsidRDefault="00601D53">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5E72" w14:textId="77777777" w:rsidR="00601D53" w:rsidRDefault="00601D53">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FC2"/>
    <w:multiLevelType w:val="multilevel"/>
    <w:tmpl w:val="B6986B52"/>
    <w:lvl w:ilvl="0">
      <w:start w:val="6"/>
      <w:numFmt w:val="decimal"/>
      <w:lvlText w:val="%1."/>
      <w:lvlJc w:val="left"/>
      <w:pPr>
        <w:tabs>
          <w:tab w:val="num" w:pos="420"/>
        </w:tabs>
        <w:ind w:left="420" w:hanging="420"/>
      </w:pPr>
      <w:rPr>
        <w:rFonts w:cs="Times New Roman" w:hint="default"/>
      </w:rPr>
    </w:lvl>
    <w:lvl w:ilvl="1">
      <w:start w:val="1"/>
      <w:numFmt w:val="decimal"/>
      <w:suff w:val="space"/>
      <w:lvlText w:val="Artículo 9.%2."/>
      <w:lvlJc w:val="left"/>
      <w:pPr>
        <w:ind w:left="721" w:firstLine="698"/>
      </w:pPr>
      <w:rPr>
        <w:rFonts w:ascii="Times New Roman" w:hAnsi="Times New Roman" w:cs="Times New Roman" w:hint="default"/>
        <w:b w:val="0"/>
        <w:bCs w:val="0"/>
        <w:i w:val="0"/>
        <w:iCs w:val="0"/>
        <w:caps w:val="0"/>
        <w:smallCaps w:val="0"/>
        <w:strike w:val="0"/>
        <w:dstrike w:val="0"/>
        <w:noProof w:val="0"/>
        <w:vanish w:val="0"/>
        <w:color w:val="000000"/>
        <w:kern w:val="0"/>
        <w:position w:val="0"/>
        <w:sz w:val="24"/>
        <w:szCs w:val="24"/>
        <w:u w:val="none"/>
        <w:effect w:val="none"/>
        <w:vertAlign w:val="baseline"/>
        <w:em w:val="none"/>
        <w:lang w:val="es-A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86A0825"/>
    <w:multiLevelType w:val="hybridMultilevel"/>
    <w:tmpl w:val="D2FC8F50"/>
    <w:lvl w:ilvl="0" w:tplc="ED5CAA96">
      <w:start w:val="1"/>
      <w:numFmt w:val="upperRoman"/>
      <w:lvlText w:val="%1."/>
      <w:lvlJc w:val="left"/>
      <w:pPr>
        <w:ind w:left="1645" w:hanging="720"/>
      </w:pPr>
      <w:rPr>
        <w:rFonts w:hint="default"/>
        <w:b/>
      </w:rPr>
    </w:lvl>
    <w:lvl w:ilvl="1" w:tplc="2C0A0019" w:tentative="1">
      <w:start w:val="1"/>
      <w:numFmt w:val="lowerLetter"/>
      <w:lvlText w:val="%2."/>
      <w:lvlJc w:val="left"/>
      <w:pPr>
        <w:ind w:left="2005" w:hanging="360"/>
      </w:pPr>
    </w:lvl>
    <w:lvl w:ilvl="2" w:tplc="2C0A001B" w:tentative="1">
      <w:start w:val="1"/>
      <w:numFmt w:val="lowerRoman"/>
      <w:lvlText w:val="%3."/>
      <w:lvlJc w:val="right"/>
      <w:pPr>
        <w:ind w:left="2725" w:hanging="180"/>
      </w:pPr>
    </w:lvl>
    <w:lvl w:ilvl="3" w:tplc="2C0A000F" w:tentative="1">
      <w:start w:val="1"/>
      <w:numFmt w:val="decimal"/>
      <w:lvlText w:val="%4."/>
      <w:lvlJc w:val="left"/>
      <w:pPr>
        <w:ind w:left="3445" w:hanging="360"/>
      </w:pPr>
    </w:lvl>
    <w:lvl w:ilvl="4" w:tplc="2C0A0019" w:tentative="1">
      <w:start w:val="1"/>
      <w:numFmt w:val="lowerLetter"/>
      <w:lvlText w:val="%5."/>
      <w:lvlJc w:val="left"/>
      <w:pPr>
        <w:ind w:left="4165" w:hanging="360"/>
      </w:pPr>
    </w:lvl>
    <w:lvl w:ilvl="5" w:tplc="2C0A001B" w:tentative="1">
      <w:start w:val="1"/>
      <w:numFmt w:val="lowerRoman"/>
      <w:lvlText w:val="%6."/>
      <w:lvlJc w:val="right"/>
      <w:pPr>
        <w:ind w:left="4885" w:hanging="180"/>
      </w:pPr>
    </w:lvl>
    <w:lvl w:ilvl="6" w:tplc="2C0A000F" w:tentative="1">
      <w:start w:val="1"/>
      <w:numFmt w:val="decimal"/>
      <w:lvlText w:val="%7."/>
      <w:lvlJc w:val="left"/>
      <w:pPr>
        <w:ind w:left="5605" w:hanging="360"/>
      </w:pPr>
    </w:lvl>
    <w:lvl w:ilvl="7" w:tplc="2C0A0019" w:tentative="1">
      <w:start w:val="1"/>
      <w:numFmt w:val="lowerLetter"/>
      <w:lvlText w:val="%8."/>
      <w:lvlJc w:val="left"/>
      <w:pPr>
        <w:ind w:left="6325" w:hanging="360"/>
      </w:pPr>
    </w:lvl>
    <w:lvl w:ilvl="8" w:tplc="2C0A001B" w:tentative="1">
      <w:start w:val="1"/>
      <w:numFmt w:val="lowerRoman"/>
      <w:lvlText w:val="%9."/>
      <w:lvlJc w:val="right"/>
      <w:pPr>
        <w:ind w:left="7045" w:hanging="180"/>
      </w:pPr>
    </w:lvl>
  </w:abstractNum>
  <w:abstractNum w:abstractNumId="2">
    <w:nsid w:val="08FA209E"/>
    <w:multiLevelType w:val="multilevel"/>
    <w:tmpl w:val="149ACF2A"/>
    <w:lvl w:ilvl="0">
      <w:start w:val="1"/>
      <w:numFmt w:val="lowerLetter"/>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9B626C"/>
    <w:multiLevelType w:val="hybridMultilevel"/>
    <w:tmpl w:val="ED021532"/>
    <w:lvl w:ilvl="0" w:tplc="9DF438B6">
      <w:start w:val="1"/>
      <w:numFmt w:val="lowerRoman"/>
      <w:lvlText w:val="(%1)"/>
      <w:lvlJc w:val="left"/>
      <w:pPr>
        <w:ind w:left="1285" w:hanging="720"/>
      </w:pPr>
      <w:rPr>
        <w:rFonts w:hint="default"/>
      </w:rPr>
    </w:lvl>
    <w:lvl w:ilvl="1" w:tplc="2C0A0019" w:tentative="1">
      <w:start w:val="1"/>
      <w:numFmt w:val="lowerLetter"/>
      <w:lvlText w:val="%2."/>
      <w:lvlJc w:val="left"/>
      <w:pPr>
        <w:ind w:left="1645" w:hanging="360"/>
      </w:pPr>
    </w:lvl>
    <w:lvl w:ilvl="2" w:tplc="2C0A001B" w:tentative="1">
      <w:start w:val="1"/>
      <w:numFmt w:val="lowerRoman"/>
      <w:lvlText w:val="%3."/>
      <w:lvlJc w:val="right"/>
      <w:pPr>
        <w:ind w:left="2365" w:hanging="180"/>
      </w:pPr>
    </w:lvl>
    <w:lvl w:ilvl="3" w:tplc="2C0A000F" w:tentative="1">
      <w:start w:val="1"/>
      <w:numFmt w:val="decimal"/>
      <w:lvlText w:val="%4."/>
      <w:lvlJc w:val="left"/>
      <w:pPr>
        <w:ind w:left="3085" w:hanging="360"/>
      </w:pPr>
    </w:lvl>
    <w:lvl w:ilvl="4" w:tplc="2C0A0019" w:tentative="1">
      <w:start w:val="1"/>
      <w:numFmt w:val="lowerLetter"/>
      <w:lvlText w:val="%5."/>
      <w:lvlJc w:val="left"/>
      <w:pPr>
        <w:ind w:left="3805" w:hanging="360"/>
      </w:pPr>
    </w:lvl>
    <w:lvl w:ilvl="5" w:tplc="2C0A001B" w:tentative="1">
      <w:start w:val="1"/>
      <w:numFmt w:val="lowerRoman"/>
      <w:lvlText w:val="%6."/>
      <w:lvlJc w:val="right"/>
      <w:pPr>
        <w:ind w:left="4525" w:hanging="180"/>
      </w:pPr>
    </w:lvl>
    <w:lvl w:ilvl="6" w:tplc="2C0A000F" w:tentative="1">
      <w:start w:val="1"/>
      <w:numFmt w:val="decimal"/>
      <w:lvlText w:val="%7."/>
      <w:lvlJc w:val="left"/>
      <w:pPr>
        <w:ind w:left="5245" w:hanging="360"/>
      </w:pPr>
    </w:lvl>
    <w:lvl w:ilvl="7" w:tplc="2C0A0019" w:tentative="1">
      <w:start w:val="1"/>
      <w:numFmt w:val="lowerLetter"/>
      <w:lvlText w:val="%8."/>
      <w:lvlJc w:val="left"/>
      <w:pPr>
        <w:ind w:left="5965" w:hanging="360"/>
      </w:pPr>
    </w:lvl>
    <w:lvl w:ilvl="8" w:tplc="2C0A001B" w:tentative="1">
      <w:start w:val="1"/>
      <w:numFmt w:val="lowerRoman"/>
      <w:lvlText w:val="%9."/>
      <w:lvlJc w:val="right"/>
      <w:pPr>
        <w:ind w:left="6685" w:hanging="180"/>
      </w:pPr>
    </w:lvl>
  </w:abstractNum>
  <w:abstractNum w:abstractNumId="4">
    <w:nsid w:val="12527AFA"/>
    <w:multiLevelType w:val="hybridMultilevel"/>
    <w:tmpl w:val="A60E0BD2"/>
    <w:lvl w:ilvl="0" w:tplc="F0C0BDD2">
      <w:start w:val="1"/>
      <w:numFmt w:val="lowerRoman"/>
      <w:lvlText w:val="(%1)"/>
      <w:lvlJc w:val="left"/>
      <w:pPr>
        <w:ind w:left="1573" w:hanging="720"/>
      </w:pPr>
      <w:rPr>
        <w:rFonts w:hint="default"/>
        <w:i w:val="0"/>
      </w:rPr>
    </w:lvl>
    <w:lvl w:ilvl="1" w:tplc="2C0A0019">
      <w:start w:val="1"/>
      <w:numFmt w:val="lowerLetter"/>
      <w:lvlText w:val="%2."/>
      <w:lvlJc w:val="left"/>
      <w:pPr>
        <w:ind w:left="1933" w:hanging="360"/>
      </w:pPr>
    </w:lvl>
    <w:lvl w:ilvl="2" w:tplc="2C0A001B" w:tentative="1">
      <w:start w:val="1"/>
      <w:numFmt w:val="lowerRoman"/>
      <w:lvlText w:val="%3."/>
      <w:lvlJc w:val="right"/>
      <w:pPr>
        <w:ind w:left="2653" w:hanging="180"/>
      </w:pPr>
    </w:lvl>
    <w:lvl w:ilvl="3" w:tplc="2C0A000F" w:tentative="1">
      <w:start w:val="1"/>
      <w:numFmt w:val="decimal"/>
      <w:lvlText w:val="%4."/>
      <w:lvlJc w:val="left"/>
      <w:pPr>
        <w:ind w:left="3373" w:hanging="360"/>
      </w:pPr>
    </w:lvl>
    <w:lvl w:ilvl="4" w:tplc="2C0A0019" w:tentative="1">
      <w:start w:val="1"/>
      <w:numFmt w:val="lowerLetter"/>
      <w:lvlText w:val="%5."/>
      <w:lvlJc w:val="left"/>
      <w:pPr>
        <w:ind w:left="4093" w:hanging="360"/>
      </w:pPr>
    </w:lvl>
    <w:lvl w:ilvl="5" w:tplc="2C0A001B" w:tentative="1">
      <w:start w:val="1"/>
      <w:numFmt w:val="lowerRoman"/>
      <w:lvlText w:val="%6."/>
      <w:lvlJc w:val="right"/>
      <w:pPr>
        <w:ind w:left="4813" w:hanging="180"/>
      </w:pPr>
    </w:lvl>
    <w:lvl w:ilvl="6" w:tplc="2C0A000F" w:tentative="1">
      <w:start w:val="1"/>
      <w:numFmt w:val="decimal"/>
      <w:lvlText w:val="%7."/>
      <w:lvlJc w:val="left"/>
      <w:pPr>
        <w:ind w:left="5533" w:hanging="360"/>
      </w:pPr>
    </w:lvl>
    <w:lvl w:ilvl="7" w:tplc="2C0A0019" w:tentative="1">
      <w:start w:val="1"/>
      <w:numFmt w:val="lowerLetter"/>
      <w:lvlText w:val="%8."/>
      <w:lvlJc w:val="left"/>
      <w:pPr>
        <w:ind w:left="6253" w:hanging="360"/>
      </w:pPr>
    </w:lvl>
    <w:lvl w:ilvl="8" w:tplc="2C0A001B" w:tentative="1">
      <w:start w:val="1"/>
      <w:numFmt w:val="lowerRoman"/>
      <w:lvlText w:val="%9."/>
      <w:lvlJc w:val="right"/>
      <w:pPr>
        <w:ind w:left="6973" w:hanging="180"/>
      </w:pPr>
    </w:lvl>
  </w:abstractNum>
  <w:abstractNum w:abstractNumId="5">
    <w:nsid w:val="18AF2B88"/>
    <w:multiLevelType w:val="hybridMultilevel"/>
    <w:tmpl w:val="8392F12C"/>
    <w:lvl w:ilvl="0" w:tplc="72081D82">
      <w:start w:val="1"/>
      <w:numFmt w:val="lowerRoman"/>
      <w:lvlText w:val="(%1)"/>
      <w:lvlJc w:val="left"/>
      <w:pPr>
        <w:ind w:left="718" w:hanging="72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6">
    <w:nsid w:val="1ECB051C"/>
    <w:multiLevelType w:val="hybridMultilevel"/>
    <w:tmpl w:val="8C2E479C"/>
    <w:lvl w:ilvl="0" w:tplc="3A0A10A2">
      <w:start w:val="1"/>
      <w:numFmt w:val="lowerRoman"/>
      <w:lvlText w:val="(%1)"/>
      <w:lvlJc w:val="left"/>
      <w:pPr>
        <w:ind w:left="1595" w:hanging="720"/>
      </w:pPr>
      <w:rPr>
        <w:rFonts w:hint="default"/>
      </w:rPr>
    </w:lvl>
    <w:lvl w:ilvl="1" w:tplc="2C0A0019">
      <w:start w:val="1"/>
      <w:numFmt w:val="lowerLetter"/>
      <w:lvlText w:val="%2."/>
      <w:lvlJc w:val="left"/>
      <w:pPr>
        <w:ind w:left="1955" w:hanging="360"/>
      </w:pPr>
    </w:lvl>
    <w:lvl w:ilvl="2" w:tplc="2C0A001B" w:tentative="1">
      <w:start w:val="1"/>
      <w:numFmt w:val="lowerRoman"/>
      <w:lvlText w:val="%3."/>
      <w:lvlJc w:val="right"/>
      <w:pPr>
        <w:ind w:left="2675" w:hanging="180"/>
      </w:pPr>
    </w:lvl>
    <w:lvl w:ilvl="3" w:tplc="2C0A000F" w:tentative="1">
      <w:start w:val="1"/>
      <w:numFmt w:val="decimal"/>
      <w:lvlText w:val="%4."/>
      <w:lvlJc w:val="left"/>
      <w:pPr>
        <w:ind w:left="3395" w:hanging="360"/>
      </w:pPr>
    </w:lvl>
    <w:lvl w:ilvl="4" w:tplc="2C0A0019" w:tentative="1">
      <w:start w:val="1"/>
      <w:numFmt w:val="lowerLetter"/>
      <w:lvlText w:val="%5."/>
      <w:lvlJc w:val="left"/>
      <w:pPr>
        <w:ind w:left="4115" w:hanging="360"/>
      </w:pPr>
    </w:lvl>
    <w:lvl w:ilvl="5" w:tplc="2C0A001B" w:tentative="1">
      <w:start w:val="1"/>
      <w:numFmt w:val="lowerRoman"/>
      <w:lvlText w:val="%6."/>
      <w:lvlJc w:val="right"/>
      <w:pPr>
        <w:ind w:left="4835" w:hanging="180"/>
      </w:pPr>
    </w:lvl>
    <w:lvl w:ilvl="6" w:tplc="2C0A000F" w:tentative="1">
      <w:start w:val="1"/>
      <w:numFmt w:val="decimal"/>
      <w:lvlText w:val="%7."/>
      <w:lvlJc w:val="left"/>
      <w:pPr>
        <w:ind w:left="5555" w:hanging="360"/>
      </w:pPr>
    </w:lvl>
    <w:lvl w:ilvl="7" w:tplc="2C0A0019" w:tentative="1">
      <w:start w:val="1"/>
      <w:numFmt w:val="lowerLetter"/>
      <w:lvlText w:val="%8."/>
      <w:lvlJc w:val="left"/>
      <w:pPr>
        <w:ind w:left="6275" w:hanging="360"/>
      </w:pPr>
    </w:lvl>
    <w:lvl w:ilvl="8" w:tplc="2C0A001B" w:tentative="1">
      <w:start w:val="1"/>
      <w:numFmt w:val="lowerRoman"/>
      <w:lvlText w:val="%9."/>
      <w:lvlJc w:val="right"/>
      <w:pPr>
        <w:ind w:left="6995" w:hanging="180"/>
      </w:pPr>
    </w:lvl>
  </w:abstractNum>
  <w:abstractNum w:abstractNumId="7">
    <w:nsid w:val="26FE1596"/>
    <w:multiLevelType w:val="hybridMultilevel"/>
    <w:tmpl w:val="93A47736"/>
    <w:lvl w:ilvl="0" w:tplc="B7D84A68">
      <w:start w:val="4"/>
      <w:numFmt w:val="upperLetter"/>
      <w:lvlText w:val="%1."/>
      <w:lvlJc w:val="left"/>
      <w:pPr>
        <w:tabs>
          <w:tab w:val="num" w:pos="720"/>
        </w:tabs>
        <w:ind w:left="720" w:hanging="360"/>
      </w:pPr>
    </w:lvl>
    <w:lvl w:ilvl="1" w:tplc="0AC0B518" w:tentative="1">
      <w:start w:val="1"/>
      <w:numFmt w:val="decimal"/>
      <w:lvlText w:val="%2."/>
      <w:lvlJc w:val="left"/>
      <w:pPr>
        <w:tabs>
          <w:tab w:val="num" w:pos="1440"/>
        </w:tabs>
        <w:ind w:left="1440" w:hanging="360"/>
      </w:pPr>
    </w:lvl>
    <w:lvl w:ilvl="2" w:tplc="E1086EE0" w:tentative="1">
      <w:start w:val="1"/>
      <w:numFmt w:val="decimal"/>
      <w:lvlText w:val="%3."/>
      <w:lvlJc w:val="left"/>
      <w:pPr>
        <w:tabs>
          <w:tab w:val="num" w:pos="2160"/>
        </w:tabs>
        <w:ind w:left="2160" w:hanging="360"/>
      </w:pPr>
    </w:lvl>
    <w:lvl w:ilvl="3" w:tplc="00C85468" w:tentative="1">
      <w:start w:val="1"/>
      <w:numFmt w:val="decimal"/>
      <w:lvlText w:val="%4."/>
      <w:lvlJc w:val="left"/>
      <w:pPr>
        <w:tabs>
          <w:tab w:val="num" w:pos="2880"/>
        </w:tabs>
        <w:ind w:left="2880" w:hanging="360"/>
      </w:pPr>
    </w:lvl>
    <w:lvl w:ilvl="4" w:tplc="7B5276F2" w:tentative="1">
      <w:start w:val="1"/>
      <w:numFmt w:val="decimal"/>
      <w:lvlText w:val="%5."/>
      <w:lvlJc w:val="left"/>
      <w:pPr>
        <w:tabs>
          <w:tab w:val="num" w:pos="3600"/>
        </w:tabs>
        <w:ind w:left="3600" w:hanging="360"/>
      </w:pPr>
    </w:lvl>
    <w:lvl w:ilvl="5" w:tplc="7F742DFE" w:tentative="1">
      <w:start w:val="1"/>
      <w:numFmt w:val="decimal"/>
      <w:lvlText w:val="%6."/>
      <w:lvlJc w:val="left"/>
      <w:pPr>
        <w:tabs>
          <w:tab w:val="num" w:pos="4320"/>
        </w:tabs>
        <w:ind w:left="4320" w:hanging="360"/>
      </w:pPr>
    </w:lvl>
    <w:lvl w:ilvl="6" w:tplc="E8CC568E" w:tentative="1">
      <w:start w:val="1"/>
      <w:numFmt w:val="decimal"/>
      <w:lvlText w:val="%7."/>
      <w:lvlJc w:val="left"/>
      <w:pPr>
        <w:tabs>
          <w:tab w:val="num" w:pos="5040"/>
        </w:tabs>
        <w:ind w:left="5040" w:hanging="360"/>
      </w:pPr>
    </w:lvl>
    <w:lvl w:ilvl="7" w:tplc="EBBC4B28" w:tentative="1">
      <w:start w:val="1"/>
      <w:numFmt w:val="decimal"/>
      <w:lvlText w:val="%8."/>
      <w:lvlJc w:val="left"/>
      <w:pPr>
        <w:tabs>
          <w:tab w:val="num" w:pos="5760"/>
        </w:tabs>
        <w:ind w:left="5760" w:hanging="360"/>
      </w:pPr>
    </w:lvl>
    <w:lvl w:ilvl="8" w:tplc="A4F0F372" w:tentative="1">
      <w:start w:val="1"/>
      <w:numFmt w:val="decimal"/>
      <w:lvlText w:val="%9."/>
      <w:lvlJc w:val="left"/>
      <w:pPr>
        <w:tabs>
          <w:tab w:val="num" w:pos="6480"/>
        </w:tabs>
        <w:ind w:left="6480" w:hanging="360"/>
      </w:pPr>
    </w:lvl>
  </w:abstractNum>
  <w:abstractNum w:abstractNumId="8">
    <w:nsid w:val="27E25133"/>
    <w:multiLevelType w:val="hybridMultilevel"/>
    <w:tmpl w:val="0D0497D4"/>
    <w:lvl w:ilvl="0" w:tplc="6D500638">
      <w:start w:val="1"/>
      <w:numFmt w:val="low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9">
    <w:nsid w:val="29281DF5"/>
    <w:multiLevelType w:val="hybridMultilevel"/>
    <w:tmpl w:val="D324A1EC"/>
    <w:lvl w:ilvl="0" w:tplc="D82E0212">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0">
    <w:nsid w:val="29416C28"/>
    <w:multiLevelType w:val="hybridMultilevel"/>
    <w:tmpl w:val="F00E1052"/>
    <w:lvl w:ilvl="0" w:tplc="64BA961E">
      <w:start w:val="7"/>
      <w:numFmt w:val="upperLetter"/>
      <w:lvlText w:val="%1."/>
      <w:lvlJc w:val="left"/>
      <w:pPr>
        <w:tabs>
          <w:tab w:val="num" w:pos="720"/>
        </w:tabs>
        <w:ind w:left="720" w:hanging="360"/>
      </w:pPr>
    </w:lvl>
    <w:lvl w:ilvl="1" w:tplc="89F4CC84" w:tentative="1">
      <w:start w:val="1"/>
      <w:numFmt w:val="decimal"/>
      <w:lvlText w:val="%2."/>
      <w:lvlJc w:val="left"/>
      <w:pPr>
        <w:tabs>
          <w:tab w:val="num" w:pos="1440"/>
        </w:tabs>
        <w:ind w:left="1440" w:hanging="360"/>
      </w:pPr>
    </w:lvl>
    <w:lvl w:ilvl="2" w:tplc="7FEAC7A4" w:tentative="1">
      <w:start w:val="1"/>
      <w:numFmt w:val="decimal"/>
      <w:lvlText w:val="%3."/>
      <w:lvlJc w:val="left"/>
      <w:pPr>
        <w:tabs>
          <w:tab w:val="num" w:pos="2160"/>
        </w:tabs>
        <w:ind w:left="2160" w:hanging="360"/>
      </w:pPr>
    </w:lvl>
    <w:lvl w:ilvl="3" w:tplc="732E1B0C" w:tentative="1">
      <w:start w:val="1"/>
      <w:numFmt w:val="decimal"/>
      <w:lvlText w:val="%4."/>
      <w:lvlJc w:val="left"/>
      <w:pPr>
        <w:tabs>
          <w:tab w:val="num" w:pos="2880"/>
        </w:tabs>
        <w:ind w:left="2880" w:hanging="360"/>
      </w:pPr>
    </w:lvl>
    <w:lvl w:ilvl="4" w:tplc="0616CFB8" w:tentative="1">
      <w:start w:val="1"/>
      <w:numFmt w:val="decimal"/>
      <w:lvlText w:val="%5."/>
      <w:lvlJc w:val="left"/>
      <w:pPr>
        <w:tabs>
          <w:tab w:val="num" w:pos="3600"/>
        </w:tabs>
        <w:ind w:left="3600" w:hanging="360"/>
      </w:pPr>
    </w:lvl>
    <w:lvl w:ilvl="5" w:tplc="6346EA88" w:tentative="1">
      <w:start w:val="1"/>
      <w:numFmt w:val="decimal"/>
      <w:lvlText w:val="%6."/>
      <w:lvlJc w:val="left"/>
      <w:pPr>
        <w:tabs>
          <w:tab w:val="num" w:pos="4320"/>
        </w:tabs>
        <w:ind w:left="4320" w:hanging="360"/>
      </w:pPr>
    </w:lvl>
    <w:lvl w:ilvl="6" w:tplc="1FAC8B9E" w:tentative="1">
      <w:start w:val="1"/>
      <w:numFmt w:val="decimal"/>
      <w:lvlText w:val="%7."/>
      <w:lvlJc w:val="left"/>
      <w:pPr>
        <w:tabs>
          <w:tab w:val="num" w:pos="5040"/>
        </w:tabs>
        <w:ind w:left="5040" w:hanging="360"/>
      </w:pPr>
    </w:lvl>
    <w:lvl w:ilvl="7" w:tplc="9CCA940C" w:tentative="1">
      <w:start w:val="1"/>
      <w:numFmt w:val="decimal"/>
      <w:lvlText w:val="%8."/>
      <w:lvlJc w:val="left"/>
      <w:pPr>
        <w:tabs>
          <w:tab w:val="num" w:pos="5760"/>
        </w:tabs>
        <w:ind w:left="5760" w:hanging="360"/>
      </w:pPr>
    </w:lvl>
    <w:lvl w:ilvl="8" w:tplc="F7E81A9E" w:tentative="1">
      <w:start w:val="1"/>
      <w:numFmt w:val="decimal"/>
      <w:lvlText w:val="%9."/>
      <w:lvlJc w:val="left"/>
      <w:pPr>
        <w:tabs>
          <w:tab w:val="num" w:pos="6480"/>
        </w:tabs>
        <w:ind w:left="6480" w:hanging="360"/>
      </w:pPr>
    </w:lvl>
  </w:abstractNum>
  <w:abstractNum w:abstractNumId="11">
    <w:nsid w:val="2D607452"/>
    <w:multiLevelType w:val="hybridMultilevel"/>
    <w:tmpl w:val="07A49EB4"/>
    <w:lvl w:ilvl="0" w:tplc="9B22FA0A">
      <w:start w:val="1"/>
      <w:numFmt w:val="lowerRoman"/>
      <w:lvlText w:val="(%1)"/>
      <w:lvlJc w:val="left"/>
      <w:pPr>
        <w:ind w:left="718" w:hanging="72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12">
    <w:nsid w:val="30D80725"/>
    <w:multiLevelType w:val="hybridMultilevel"/>
    <w:tmpl w:val="8A102A1A"/>
    <w:lvl w:ilvl="0" w:tplc="83F23A82">
      <w:start w:val="1"/>
      <w:numFmt w:val="lowerRoman"/>
      <w:lvlText w:val="(%1)"/>
      <w:lvlJc w:val="right"/>
      <w:pPr>
        <w:tabs>
          <w:tab w:val="num" w:pos="720"/>
        </w:tabs>
        <w:ind w:left="720" w:hanging="360"/>
      </w:pPr>
    </w:lvl>
    <w:lvl w:ilvl="1" w:tplc="09543076" w:tentative="1">
      <w:start w:val="1"/>
      <w:numFmt w:val="lowerRoman"/>
      <w:lvlText w:val="(%2)"/>
      <w:lvlJc w:val="right"/>
      <w:pPr>
        <w:tabs>
          <w:tab w:val="num" w:pos="1440"/>
        </w:tabs>
        <w:ind w:left="1440" w:hanging="360"/>
      </w:pPr>
    </w:lvl>
    <w:lvl w:ilvl="2" w:tplc="6838A1C0" w:tentative="1">
      <w:start w:val="1"/>
      <w:numFmt w:val="lowerRoman"/>
      <w:lvlText w:val="(%3)"/>
      <w:lvlJc w:val="right"/>
      <w:pPr>
        <w:tabs>
          <w:tab w:val="num" w:pos="2160"/>
        </w:tabs>
        <w:ind w:left="2160" w:hanging="360"/>
      </w:pPr>
    </w:lvl>
    <w:lvl w:ilvl="3" w:tplc="DF5C5DF4" w:tentative="1">
      <w:start w:val="1"/>
      <w:numFmt w:val="lowerRoman"/>
      <w:lvlText w:val="(%4)"/>
      <w:lvlJc w:val="right"/>
      <w:pPr>
        <w:tabs>
          <w:tab w:val="num" w:pos="2880"/>
        </w:tabs>
        <w:ind w:left="2880" w:hanging="360"/>
      </w:pPr>
    </w:lvl>
    <w:lvl w:ilvl="4" w:tplc="B7C0B182" w:tentative="1">
      <w:start w:val="1"/>
      <w:numFmt w:val="lowerRoman"/>
      <w:lvlText w:val="(%5)"/>
      <w:lvlJc w:val="right"/>
      <w:pPr>
        <w:tabs>
          <w:tab w:val="num" w:pos="3600"/>
        </w:tabs>
        <w:ind w:left="3600" w:hanging="360"/>
      </w:pPr>
    </w:lvl>
    <w:lvl w:ilvl="5" w:tplc="48D8D2B6" w:tentative="1">
      <w:start w:val="1"/>
      <w:numFmt w:val="lowerRoman"/>
      <w:lvlText w:val="(%6)"/>
      <w:lvlJc w:val="right"/>
      <w:pPr>
        <w:tabs>
          <w:tab w:val="num" w:pos="4320"/>
        </w:tabs>
        <w:ind w:left="4320" w:hanging="360"/>
      </w:pPr>
    </w:lvl>
    <w:lvl w:ilvl="6" w:tplc="51F22A0E" w:tentative="1">
      <w:start w:val="1"/>
      <w:numFmt w:val="lowerRoman"/>
      <w:lvlText w:val="(%7)"/>
      <w:lvlJc w:val="right"/>
      <w:pPr>
        <w:tabs>
          <w:tab w:val="num" w:pos="5040"/>
        </w:tabs>
        <w:ind w:left="5040" w:hanging="360"/>
      </w:pPr>
    </w:lvl>
    <w:lvl w:ilvl="7" w:tplc="C53C28B8" w:tentative="1">
      <w:start w:val="1"/>
      <w:numFmt w:val="lowerRoman"/>
      <w:lvlText w:val="(%8)"/>
      <w:lvlJc w:val="right"/>
      <w:pPr>
        <w:tabs>
          <w:tab w:val="num" w:pos="5760"/>
        </w:tabs>
        <w:ind w:left="5760" w:hanging="360"/>
      </w:pPr>
    </w:lvl>
    <w:lvl w:ilvl="8" w:tplc="7A1ABBC8" w:tentative="1">
      <w:start w:val="1"/>
      <w:numFmt w:val="lowerRoman"/>
      <w:lvlText w:val="(%9)"/>
      <w:lvlJc w:val="right"/>
      <w:pPr>
        <w:tabs>
          <w:tab w:val="num" w:pos="6480"/>
        </w:tabs>
        <w:ind w:left="6480" w:hanging="360"/>
      </w:pPr>
    </w:lvl>
  </w:abstractNum>
  <w:abstractNum w:abstractNumId="13">
    <w:nsid w:val="31024C3B"/>
    <w:multiLevelType w:val="hybridMultilevel"/>
    <w:tmpl w:val="B25014EA"/>
    <w:lvl w:ilvl="0" w:tplc="DBD2B7B8">
      <w:start w:val="1"/>
      <w:numFmt w:val="bullet"/>
      <w:lvlText w:val="-"/>
      <w:lvlJc w:val="left"/>
      <w:pPr>
        <w:ind w:left="1285" w:hanging="360"/>
      </w:pPr>
      <w:rPr>
        <w:rFonts w:ascii="Times New Roman" w:eastAsia="Times New Roman" w:hAnsi="Times New Roman" w:cs="Times New Roman" w:hint="default"/>
        <w:color w:val="auto"/>
      </w:rPr>
    </w:lvl>
    <w:lvl w:ilvl="1" w:tplc="2C0A0003" w:tentative="1">
      <w:start w:val="1"/>
      <w:numFmt w:val="bullet"/>
      <w:lvlText w:val="o"/>
      <w:lvlJc w:val="left"/>
      <w:pPr>
        <w:ind w:left="2005" w:hanging="360"/>
      </w:pPr>
      <w:rPr>
        <w:rFonts w:ascii="Courier New" w:hAnsi="Courier New" w:cs="Courier New" w:hint="default"/>
      </w:rPr>
    </w:lvl>
    <w:lvl w:ilvl="2" w:tplc="2C0A0005" w:tentative="1">
      <w:start w:val="1"/>
      <w:numFmt w:val="bullet"/>
      <w:lvlText w:val=""/>
      <w:lvlJc w:val="left"/>
      <w:pPr>
        <w:ind w:left="2725" w:hanging="360"/>
      </w:pPr>
      <w:rPr>
        <w:rFonts w:ascii="Wingdings" w:hAnsi="Wingdings" w:hint="default"/>
      </w:rPr>
    </w:lvl>
    <w:lvl w:ilvl="3" w:tplc="2C0A0001" w:tentative="1">
      <w:start w:val="1"/>
      <w:numFmt w:val="bullet"/>
      <w:lvlText w:val=""/>
      <w:lvlJc w:val="left"/>
      <w:pPr>
        <w:ind w:left="3445" w:hanging="360"/>
      </w:pPr>
      <w:rPr>
        <w:rFonts w:ascii="Symbol" w:hAnsi="Symbol" w:hint="default"/>
      </w:rPr>
    </w:lvl>
    <w:lvl w:ilvl="4" w:tplc="2C0A0003" w:tentative="1">
      <w:start w:val="1"/>
      <w:numFmt w:val="bullet"/>
      <w:lvlText w:val="o"/>
      <w:lvlJc w:val="left"/>
      <w:pPr>
        <w:ind w:left="4165" w:hanging="360"/>
      </w:pPr>
      <w:rPr>
        <w:rFonts w:ascii="Courier New" w:hAnsi="Courier New" w:cs="Courier New" w:hint="default"/>
      </w:rPr>
    </w:lvl>
    <w:lvl w:ilvl="5" w:tplc="2C0A0005" w:tentative="1">
      <w:start w:val="1"/>
      <w:numFmt w:val="bullet"/>
      <w:lvlText w:val=""/>
      <w:lvlJc w:val="left"/>
      <w:pPr>
        <w:ind w:left="4885" w:hanging="360"/>
      </w:pPr>
      <w:rPr>
        <w:rFonts w:ascii="Wingdings" w:hAnsi="Wingdings" w:hint="default"/>
      </w:rPr>
    </w:lvl>
    <w:lvl w:ilvl="6" w:tplc="2C0A0001" w:tentative="1">
      <w:start w:val="1"/>
      <w:numFmt w:val="bullet"/>
      <w:lvlText w:val=""/>
      <w:lvlJc w:val="left"/>
      <w:pPr>
        <w:ind w:left="5605" w:hanging="360"/>
      </w:pPr>
      <w:rPr>
        <w:rFonts w:ascii="Symbol" w:hAnsi="Symbol" w:hint="default"/>
      </w:rPr>
    </w:lvl>
    <w:lvl w:ilvl="7" w:tplc="2C0A0003" w:tentative="1">
      <w:start w:val="1"/>
      <w:numFmt w:val="bullet"/>
      <w:lvlText w:val="o"/>
      <w:lvlJc w:val="left"/>
      <w:pPr>
        <w:ind w:left="6325" w:hanging="360"/>
      </w:pPr>
      <w:rPr>
        <w:rFonts w:ascii="Courier New" w:hAnsi="Courier New" w:cs="Courier New" w:hint="default"/>
      </w:rPr>
    </w:lvl>
    <w:lvl w:ilvl="8" w:tplc="2C0A0005" w:tentative="1">
      <w:start w:val="1"/>
      <w:numFmt w:val="bullet"/>
      <w:lvlText w:val=""/>
      <w:lvlJc w:val="left"/>
      <w:pPr>
        <w:ind w:left="7045" w:hanging="360"/>
      </w:pPr>
      <w:rPr>
        <w:rFonts w:ascii="Wingdings" w:hAnsi="Wingdings" w:hint="default"/>
      </w:rPr>
    </w:lvl>
  </w:abstractNum>
  <w:abstractNum w:abstractNumId="14">
    <w:nsid w:val="33F87DA5"/>
    <w:multiLevelType w:val="multilevel"/>
    <w:tmpl w:val="D172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43A90"/>
    <w:multiLevelType w:val="hybridMultilevel"/>
    <w:tmpl w:val="D430F082"/>
    <w:lvl w:ilvl="0" w:tplc="1D42C93E">
      <w:start w:val="1"/>
      <w:numFmt w:val="decimal"/>
      <w:lvlText w:val="(%1)"/>
      <w:lvlJc w:val="left"/>
      <w:pPr>
        <w:ind w:left="925" w:hanging="360"/>
      </w:pPr>
      <w:rPr>
        <w:rFonts w:hint="default"/>
      </w:rPr>
    </w:lvl>
    <w:lvl w:ilvl="1" w:tplc="2C0A0019" w:tentative="1">
      <w:start w:val="1"/>
      <w:numFmt w:val="lowerLetter"/>
      <w:lvlText w:val="%2."/>
      <w:lvlJc w:val="left"/>
      <w:pPr>
        <w:ind w:left="1645" w:hanging="360"/>
      </w:pPr>
    </w:lvl>
    <w:lvl w:ilvl="2" w:tplc="2C0A001B" w:tentative="1">
      <w:start w:val="1"/>
      <w:numFmt w:val="lowerRoman"/>
      <w:lvlText w:val="%3."/>
      <w:lvlJc w:val="right"/>
      <w:pPr>
        <w:ind w:left="2365" w:hanging="180"/>
      </w:pPr>
    </w:lvl>
    <w:lvl w:ilvl="3" w:tplc="2C0A000F" w:tentative="1">
      <w:start w:val="1"/>
      <w:numFmt w:val="decimal"/>
      <w:lvlText w:val="%4."/>
      <w:lvlJc w:val="left"/>
      <w:pPr>
        <w:ind w:left="3085" w:hanging="360"/>
      </w:pPr>
    </w:lvl>
    <w:lvl w:ilvl="4" w:tplc="2C0A0019" w:tentative="1">
      <w:start w:val="1"/>
      <w:numFmt w:val="lowerLetter"/>
      <w:lvlText w:val="%5."/>
      <w:lvlJc w:val="left"/>
      <w:pPr>
        <w:ind w:left="3805" w:hanging="360"/>
      </w:pPr>
    </w:lvl>
    <w:lvl w:ilvl="5" w:tplc="2C0A001B" w:tentative="1">
      <w:start w:val="1"/>
      <w:numFmt w:val="lowerRoman"/>
      <w:lvlText w:val="%6."/>
      <w:lvlJc w:val="right"/>
      <w:pPr>
        <w:ind w:left="4525" w:hanging="180"/>
      </w:pPr>
    </w:lvl>
    <w:lvl w:ilvl="6" w:tplc="2C0A000F" w:tentative="1">
      <w:start w:val="1"/>
      <w:numFmt w:val="decimal"/>
      <w:lvlText w:val="%7."/>
      <w:lvlJc w:val="left"/>
      <w:pPr>
        <w:ind w:left="5245" w:hanging="360"/>
      </w:pPr>
    </w:lvl>
    <w:lvl w:ilvl="7" w:tplc="2C0A0019" w:tentative="1">
      <w:start w:val="1"/>
      <w:numFmt w:val="lowerLetter"/>
      <w:lvlText w:val="%8."/>
      <w:lvlJc w:val="left"/>
      <w:pPr>
        <w:ind w:left="5965" w:hanging="360"/>
      </w:pPr>
    </w:lvl>
    <w:lvl w:ilvl="8" w:tplc="2C0A001B" w:tentative="1">
      <w:start w:val="1"/>
      <w:numFmt w:val="lowerRoman"/>
      <w:lvlText w:val="%9."/>
      <w:lvlJc w:val="right"/>
      <w:pPr>
        <w:ind w:left="6685" w:hanging="180"/>
      </w:pPr>
    </w:lvl>
  </w:abstractNum>
  <w:abstractNum w:abstractNumId="16">
    <w:nsid w:val="36A933E2"/>
    <w:multiLevelType w:val="hybridMultilevel"/>
    <w:tmpl w:val="19121832"/>
    <w:lvl w:ilvl="0" w:tplc="B58C32BE">
      <w:start w:val="1"/>
      <w:numFmt w:val="upperRoman"/>
      <w:lvlText w:val="(%1)"/>
      <w:lvlJc w:val="left"/>
      <w:pPr>
        <w:ind w:left="1428" w:hanging="720"/>
      </w:pPr>
      <w:rPr>
        <w:rFonts w:hint="default"/>
        <w:i w:val="0"/>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7">
    <w:nsid w:val="37270817"/>
    <w:multiLevelType w:val="hybridMultilevel"/>
    <w:tmpl w:val="FC7CE304"/>
    <w:lvl w:ilvl="0" w:tplc="A7982018">
      <w:start w:val="3"/>
      <w:numFmt w:val="upperLetter"/>
      <w:lvlText w:val="%1."/>
      <w:lvlJc w:val="left"/>
      <w:pPr>
        <w:tabs>
          <w:tab w:val="num" w:pos="720"/>
        </w:tabs>
        <w:ind w:left="720" w:hanging="360"/>
      </w:pPr>
    </w:lvl>
    <w:lvl w:ilvl="1" w:tplc="AE9048E2" w:tentative="1">
      <w:start w:val="1"/>
      <w:numFmt w:val="decimal"/>
      <w:lvlText w:val="%2."/>
      <w:lvlJc w:val="left"/>
      <w:pPr>
        <w:tabs>
          <w:tab w:val="num" w:pos="1440"/>
        </w:tabs>
        <w:ind w:left="1440" w:hanging="360"/>
      </w:pPr>
    </w:lvl>
    <w:lvl w:ilvl="2" w:tplc="992A5E66" w:tentative="1">
      <w:start w:val="1"/>
      <w:numFmt w:val="decimal"/>
      <w:lvlText w:val="%3."/>
      <w:lvlJc w:val="left"/>
      <w:pPr>
        <w:tabs>
          <w:tab w:val="num" w:pos="2160"/>
        </w:tabs>
        <w:ind w:left="2160" w:hanging="360"/>
      </w:pPr>
    </w:lvl>
    <w:lvl w:ilvl="3" w:tplc="DE9CA984" w:tentative="1">
      <w:start w:val="1"/>
      <w:numFmt w:val="decimal"/>
      <w:lvlText w:val="%4."/>
      <w:lvlJc w:val="left"/>
      <w:pPr>
        <w:tabs>
          <w:tab w:val="num" w:pos="2880"/>
        </w:tabs>
        <w:ind w:left="2880" w:hanging="360"/>
      </w:pPr>
    </w:lvl>
    <w:lvl w:ilvl="4" w:tplc="C8784928" w:tentative="1">
      <w:start w:val="1"/>
      <w:numFmt w:val="decimal"/>
      <w:lvlText w:val="%5."/>
      <w:lvlJc w:val="left"/>
      <w:pPr>
        <w:tabs>
          <w:tab w:val="num" w:pos="3600"/>
        </w:tabs>
        <w:ind w:left="3600" w:hanging="360"/>
      </w:pPr>
    </w:lvl>
    <w:lvl w:ilvl="5" w:tplc="F01E30B8" w:tentative="1">
      <w:start w:val="1"/>
      <w:numFmt w:val="decimal"/>
      <w:lvlText w:val="%6."/>
      <w:lvlJc w:val="left"/>
      <w:pPr>
        <w:tabs>
          <w:tab w:val="num" w:pos="4320"/>
        </w:tabs>
        <w:ind w:left="4320" w:hanging="360"/>
      </w:pPr>
    </w:lvl>
    <w:lvl w:ilvl="6" w:tplc="515A6072" w:tentative="1">
      <w:start w:val="1"/>
      <w:numFmt w:val="decimal"/>
      <w:lvlText w:val="%7."/>
      <w:lvlJc w:val="left"/>
      <w:pPr>
        <w:tabs>
          <w:tab w:val="num" w:pos="5040"/>
        </w:tabs>
        <w:ind w:left="5040" w:hanging="360"/>
      </w:pPr>
    </w:lvl>
    <w:lvl w:ilvl="7" w:tplc="83ACC4F2" w:tentative="1">
      <w:start w:val="1"/>
      <w:numFmt w:val="decimal"/>
      <w:lvlText w:val="%8."/>
      <w:lvlJc w:val="left"/>
      <w:pPr>
        <w:tabs>
          <w:tab w:val="num" w:pos="5760"/>
        </w:tabs>
        <w:ind w:left="5760" w:hanging="360"/>
      </w:pPr>
    </w:lvl>
    <w:lvl w:ilvl="8" w:tplc="040A3A2C" w:tentative="1">
      <w:start w:val="1"/>
      <w:numFmt w:val="decimal"/>
      <w:lvlText w:val="%9."/>
      <w:lvlJc w:val="left"/>
      <w:pPr>
        <w:tabs>
          <w:tab w:val="num" w:pos="6480"/>
        </w:tabs>
        <w:ind w:left="6480" w:hanging="360"/>
      </w:pPr>
    </w:lvl>
  </w:abstractNum>
  <w:abstractNum w:abstractNumId="18">
    <w:nsid w:val="3C4322C2"/>
    <w:multiLevelType w:val="hybridMultilevel"/>
    <w:tmpl w:val="35FC5B78"/>
    <w:lvl w:ilvl="0" w:tplc="64EC343C">
      <w:start w:val="1"/>
      <w:numFmt w:val="lowerLetter"/>
      <w:lvlText w:val="(%1)"/>
      <w:lvlJc w:val="left"/>
      <w:pPr>
        <w:ind w:left="914" w:hanging="360"/>
      </w:pPr>
      <w:rPr>
        <w:rFonts w:hint="default"/>
      </w:rPr>
    </w:lvl>
    <w:lvl w:ilvl="1" w:tplc="2C0A0019" w:tentative="1">
      <w:start w:val="1"/>
      <w:numFmt w:val="lowerLetter"/>
      <w:lvlText w:val="%2."/>
      <w:lvlJc w:val="left"/>
      <w:pPr>
        <w:ind w:left="1634" w:hanging="360"/>
      </w:pPr>
    </w:lvl>
    <w:lvl w:ilvl="2" w:tplc="2C0A001B" w:tentative="1">
      <w:start w:val="1"/>
      <w:numFmt w:val="lowerRoman"/>
      <w:lvlText w:val="%3."/>
      <w:lvlJc w:val="right"/>
      <w:pPr>
        <w:ind w:left="2354" w:hanging="180"/>
      </w:pPr>
    </w:lvl>
    <w:lvl w:ilvl="3" w:tplc="2C0A000F" w:tentative="1">
      <w:start w:val="1"/>
      <w:numFmt w:val="decimal"/>
      <w:lvlText w:val="%4."/>
      <w:lvlJc w:val="left"/>
      <w:pPr>
        <w:ind w:left="3074" w:hanging="360"/>
      </w:pPr>
    </w:lvl>
    <w:lvl w:ilvl="4" w:tplc="2C0A0019" w:tentative="1">
      <w:start w:val="1"/>
      <w:numFmt w:val="lowerLetter"/>
      <w:lvlText w:val="%5."/>
      <w:lvlJc w:val="left"/>
      <w:pPr>
        <w:ind w:left="3794" w:hanging="360"/>
      </w:pPr>
    </w:lvl>
    <w:lvl w:ilvl="5" w:tplc="2C0A001B" w:tentative="1">
      <w:start w:val="1"/>
      <w:numFmt w:val="lowerRoman"/>
      <w:lvlText w:val="%6."/>
      <w:lvlJc w:val="right"/>
      <w:pPr>
        <w:ind w:left="4514" w:hanging="180"/>
      </w:pPr>
    </w:lvl>
    <w:lvl w:ilvl="6" w:tplc="2C0A000F" w:tentative="1">
      <w:start w:val="1"/>
      <w:numFmt w:val="decimal"/>
      <w:lvlText w:val="%7."/>
      <w:lvlJc w:val="left"/>
      <w:pPr>
        <w:ind w:left="5234" w:hanging="360"/>
      </w:pPr>
    </w:lvl>
    <w:lvl w:ilvl="7" w:tplc="2C0A0019" w:tentative="1">
      <w:start w:val="1"/>
      <w:numFmt w:val="lowerLetter"/>
      <w:lvlText w:val="%8."/>
      <w:lvlJc w:val="left"/>
      <w:pPr>
        <w:ind w:left="5954" w:hanging="360"/>
      </w:pPr>
    </w:lvl>
    <w:lvl w:ilvl="8" w:tplc="2C0A001B" w:tentative="1">
      <w:start w:val="1"/>
      <w:numFmt w:val="lowerRoman"/>
      <w:lvlText w:val="%9."/>
      <w:lvlJc w:val="right"/>
      <w:pPr>
        <w:ind w:left="6674" w:hanging="180"/>
      </w:pPr>
    </w:lvl>
  </w:abstractNum>
  <w:abstractNum w:abstractNumId="19">
    <w:nsid w:val="475B2334"/>
    <w:multiLevelType w:val="hybridMultilevel"/>
    <w:tmpl w:val="724C3908"/>
    <w:lvl w:ilvl="0" w:tplc="4E0C7464">
      <w:start w:val="1"/>
      <w:numFmt w:val="bullet"/>
      <w:lvlText w:val="-"/>
      <w:lvlJc w:val="left"/>
      <w:pPr>
        <w:tabs>
          <w:tab w:val="num" w:pos="720"/>
        </w:tabs>
        <w:ind w:left="720" w:hanging="360"/>
      </w:pPr>
      <w:rPr>
        <w:rFonts w:ascii="Times New Roman" w:hAnsi="Times New Roman" w:hint="default"/>
      </w:rPr>
    </w:lvl>
    <w:lvl w:ilvl="1" w:tplc="B394E464" w:tentative="1">
      <w:start w:val="1"/>
      <w:numFmt w:val="bullet"/>
      <w:lvlText w:val="-"/>
      <w:lvlJc w:val="left"/>
      <w:pPr>
        <w:tabs>
          <w:tab w:val="num" w:pos="1440"/>
        </w:tabs>
        <w:ind w:left="1440" w:hanging="360"/>
      </w:pPr>
      <w:rPr>
        <w:rFonts w:ascii="Times New Roman" w:hAnsi="Times New Roman" w:hint="default"/>
      </w:rPr>
    </w:lvl>
    <w:lvl w:ilvl="2" w:tplc="503A11B0" w:tentative="1">
      <w:start w:val="1"/>
      <w:numFmt w:val="bullet"/>
      <w:lvlText w:val="-"/>
      <w:lvlJc w:val="left"/>
      <w:pPr>
        <w:tabs>
          <w:tab w:val="num" w:pos="2160"/>
        </w:tabs>
        <w:ind w:left="2160" w:hanging="360"/>
      </w:pPr>
      <w:rPr>
        <w:rFonts w:ascii="Times New Roman" w:hAnsi="Times New Roman" w:hint="default"/>
      </w:rPr>
    </w:lvl>
    <w:lvl w:ilvl="3" w:tplc="CDBE8F38" w:tentative="1">
      <w:start w:val="1"/>
      <w:numFmt w:val="bullet"/>
      <w:lvlText w:val="-"/>
      <w:lvlJc w:val="left"/>
      <w:pPr>
        <w:tabs>
          <w:tab w:val="num" w:pos="2880"/>
        </w:tabs>
        <w:ind w:left="2880" w:hanging="360"/>
      </w:pPr>
      <w:rPr>
        <w:rFonts w:ascii="Times New Roman" w:hAnsi="Times New Roman" w:hint="default"/>
      </w:rPr>
    </w:lvl>
    <w:lvl w:ilvl="4" w:tplc="F18E9AA6" w:tentative="1">
      <w:start w:val="1"/>
      <w:numFmt w:val="bullet"/>
      <w:lvlText w:val="-"/>
      <w:lvlJc w:val="left"/>
      <w:pPr>
        <w:tabs>
          <w:tab w:val="num" w:pos="3600"/>
        </w:tabs>
        <w:ind w:left="3600" w:hanging="360"/>
      </w:pPr>
      <w:rPr>
        <w:rFonts w:ascii="Times New Roman" w:hAnsi="Times New Roman" w:hint="default"/>
      </w:rPr>
    </w:lvl>
    <w:lvl w:ilvl="5" w:tplc="4942D7BC" w:tentative="1">
      <w:start w:val="1"/>
      <w:numFmt w:val="bullet"/>
      <w:lvlText w:val="-"/>
      <w:lvlJc w:val="left"/>
      <w:pPr>
        <w:tabs>
          <w:tab w:val="num" w:pos="4320"/>
        </w:tabs>
        <w:ind w:left="4320" w:hanging="360"/>
      </w:pPr>
      <w:rPr>
        <w:rFonts w:ascii="Times New Roman" w:hAnsi="Times New Roman" w:hint="default"/>
      </w:rPr>
    </w:lvl>
    <w:lvl w:ilvl="6" w:tplc="BEB22A0A" w:tentative="1">
      <w:start w:val="1"/>
      <w:numFmt w:val="bullet"/>
      <w:lvlText w:val="-"/>
      <w:lvlJc w:val="left"/>
      <w:pPr>
        <w:tabs>
          <w:tab w:val="num" w:pos="5040"/>
        </w:tabs>
        <w:ind w:left="5040" w:hanging="360"/>
      </w:pPr>
      <w:rPr>
        <w:rFonts w:ascii="Times New Roman" w:hAnsi="Times New Roman" w:hint="default"/>
      </w:rPr>
    </w:lvl>
    <w:lvl w:ilvl="7" w:tplc="46708B96" w:tentative="1">
      <w:start w:val="1"/>
      <w:numFmt w:val="bullet"/>
      <w:lvlText w:val="-"/>
      <w:lvlJc w:val="left"/>
      <w:pPr>
        <w:tabs>
          <w:tab w:val="num" w:pos="5760"/>
        </w:tabs>
        <w:ind w:left="5760" w:hanging="360"/>
      </w:pPr>
      <w:rPr>
        <w:rFonts w:ascii="Times New Roman" w:hAnsi="Times New Roman" w:hint="default"/>
      </w:rPr>
    </w:lvl>
    <w:lvl w:ilvl="8" w:tplc="856028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8E94AB6"/>
    <w:multiLevelType w:val="hybridMultilevel"/>
    <w:tmpl w:val="83CA3CBC"/>
    <w:lvl w:ilvl="0" w:tplc="81EE0E32">
      <w:start w:val="1"/>
      <w:numFmt w:val="upperRoman"/>
      <w:lvlText w:val="(%1)"/>
      <w:lvlJc w:val="left"/>
      <w:pPr>
        <w:ind w:left="1430" w:hanging="720"/>
      </w:pPr>
      <w:rPr>
        <w:rFonts w:hint="default"/>
        <w:i w:val="0"/>
        <w:sz w:val="22"/>
        <w:szCs w:val="22"/>
        <w:lang w:val="es-MX"/>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21">
    <w:nsid w:val="4C367B7E"/>
    <w:multiLevelType w:val="hybridMultilevel"/>
    <w:tmpl w:val="CA90AC6E"/>
    <w:lvl w:ilvl="0" w:tplc="8D66FF32">
      <w:start w:val="1"/>
      <w:numFmt w:val="bullet"/>
      <w:lvlText w:val=""/>
      <w:lvlJc w:val="left"/>
      <w:pPr>
        <w:ind w:left="1636" w:hanging="360"/>
      </w:pPr>
      <w:rPr>
        <w:rFonts w:ascii="Symbol" w:eastAsia="Times New Roman" w:hAnsi="Symbol" w:cs="Times New Roman" w:hint="default"/>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22">
    <w:nsid w:val="4CDB3210"/>
    <w:multiLevelType w:val="hybridMultilevel"/>
    <w:tmpl w:val="BF9EB726"/>
    <w:lvl w:ilvl="0" w:tplc="B478DADA">
      <w:start w:val="8"/>
      <w:numFmt w:val="upperLetter"/>
      <w:lvlText w:val="%1."/>
      <w:lvlJc w:val="left"/>
      <w:pPr>
        <w:tabs>
          <w:tab w:val="num" w:pos="720"/>
        </w:tabs>
        <w:ind w:left="720" w:hanging="360"/>
      </w:pPr>
    </w:lvl>
    <w:lvl w:ilvl="1" w:tplc="8982E506" w:tentative="1">
      <w:start w:val="1"/>
      <w:numFmt w:val="decimal"/>
      <w:lvlText w:val="%2."/>
      <w:lvlJc w:val="left"/>
      <w:pPr>
        <w:tabs>
          <w:tab w:val="num" w:pos="1440"/>
        </w:tabs>
        <w:ind w:left="1440" w:hanging="360"/>
      </w:pPr>
    </w:lvl>
    <w:lvl w:ilvl="2" w:tplc="D0B2E80E" w:tentative="1">
      <w:start w:val="1"/>
      <w:numFmt w:val="decimal"/>
      <w:lvlText w:val="%3."/>
      <w:lvlJc w:val="left"/>
      <w:pPr>
        <w:tabs>
          <w:tab w:val="num" w:pos="2160"/>
        </w:tabs>
        <w:ind w:left="2160" w:hanging="360"/>
      </w:pPr>
    </w:lvl>
    <w:lvl w:ilvl="3" w:tplc="EE140E5E" w:tentative="1">
      <w:start w:val="1"/>
      <w:numFmt w:val="decimal"/>
      <w:lvlText w:val="%4."/>
      <w:lvlJc w:val="left"/>
      <w:pPr>
        <w:tabs>
          <w:tab w:val="num" w:pos="2880"/>
        </w:tabs>
        <w:ind w:left="2880" w:hanging="360"/>
      </w:pPr>
    </w:lvl>
    <w:lvl w:ilvl="4" w:tplc="87F2F470" w:tentative="1">
      <w:start w:val="1"/>
      <w:numFmt w:val="decimal"/>
      <w:lvlText w:val="%5."/>
      <w:lvlJc w:val="left"/>
      <w:pPr>
        <w:tabs>
          <w:tab w:val="num" w:pos="3600"/>
        </w:tabs>
        <w:ind w:left="3600" w:hanging="360"/>
      </w:pPr>
    </w:lvl>
    <w:lvl w:ilvl="5" w:tplc="FD3A215A" w:tentative="1">
      <w:start w:val="1"/>
      <w:numFmt w:val="decimal"/>
      <w:lvlText w:val="%6."/>
      <w:lvlJc w:val="left"/>
      <w:pPr>
        <w:tabs>
          <w:tab w:val="num" w:pos="4320"/>
        </w:tabs>
        <w:ind w:left="4320" w:hanging="360"/>
      </w:pPr>
    </w:lvl>
    <w:lvl w:ilvl="6" w:tplc="CFA462AA" w:tentative="1">
      <w:start w:val="1"/>
      <w:numFmt w:val="decimal"/>
      <w:lvlText w:val="%7."/>
      <w:lvlJc w:val="left"/>
      <w:pPr>
        <w:tabs>
          <w:tab w:val="num" w:pos="5040"/>
        </w:tabs>
        <w:ind w:left="5040" w:hanging="360"/>
      </w:pPr>
    </w:lvl>
    <w:lvl w:ilvl="7" w:tplc="8FCC1CC4" w:tentative="1">
      <w:start w:val="1"/>
      <w:numFmt w:val="decimal"/>
      <w:lvlText w:val="%8."/>
      <w:lvlJc w:val="left"/>
      <w:pPr>
        <w:tabs>
          <w:tab w:val="num" w:pos="5760"/>
        </w:tabs>
        <w:ind w:left="5760" w:hanging="360"/>
      </w:pPr>
    </w:lvl>
    <w:lvl w:ilvl="8" w:tplc="FF4CC9D8" w:tentative="1">
      <w:start w:val="1"/>
      <w:numFmt w:val="decimal"/>
      <w:lvlText w:val="%9."/>
      <w:lvlJc w:val="left"/>
      <w:pPr>
        <w:tabs>
          <w:tab w:val="num" w:pos="6480"/>
        </w:tabs>
        <w:ind w:left="6480" w:hanging="360"/>
      </w:pPr>
    </w:lvl>
  </w:abstractNum>
  <w:abstractNum w:abstractNumId="23">
    <w:nsid w:val="570F2BC5"/>
    <w:multiLevelType w:val="hybridMultilevel"/>
    <w:tmpl w:val="B052A9DC"/>
    <w:lvl w:ilvl="0" w:tplc="E0220DCE">
      <w:start w:val="6"/>
      <w:numFmt w:val="upperLetter"/>
      <w:lvlText w:val="%1."/>
      <w:lvlJc w:val="left"/>
      <w:pPr>
        <w:tabs>
          <w:tab w:val="num" w:pos="720"/>
        </w:tabs>
        <w:ind w:left="720" w:hanging="360"/>
      </w:pPr>
    </w:lvl>
    <w:lvl w:ilvl="1" w:tplc="08F03CA6" w:tentative="1">
      <w:start w:val="1"/>
      <w:numFmt w:val="decimal"/>
      <w:lvlText w:val="%2."/>
      <w:lvlJc w:val="left"/>
      <w:pPr>
        <w:tabs>
          <w:tab w:val="num" w:pos="1440"/>
        </w:tabs>
        <w:ind w:left="1440" w:hanging="360"/>
      </w:pPr>
    </w:lvl>
    <w:lvl w:ilvl="2" w:tplc="099858B6" w:tentative="1">
      <w:start w:val="1"/>
      <w:numFmt w:val="decimal"/>
      <w:lvlText w:val="%3."/>
      <w:lvlJc w:val="left"/>
      <w:pPr>
        <w:tabs>
          <w:tab w:val="num" w:pos="2160"/>
        </w:tabs>
        <w:ind w:left="2160" w:hanging="360"/>
      </w:pPr>
    </w:lvl>
    <w:lvl w:ilvl="3" w:tplc="AF061F78" w:tentative="1">
      <w:start w:val="1"/>
      <w:numFmt w:val="decimal"/>
      <w:lvlText w:val="%4."/>
      <w:lvlJc w:val="left"/>
      <w:pPr>
        <w:tabs>
          <w:tab w:val="num" w:pos="2880"/>
        </w:tabs>
        <w:ind w:left="2880" w:hanging="360"/>
      </w:pPr>
    </w:lvl>
    <w:lvl w:ilvl="4" w:tplc="9CC4915E" w:tentative="1">
      <w:start w:val="1"/>
      <w:numFmt w:val="decimal"/>
      <w:lvlText w:val="%5."/>
      <w:lvlJc w:val="left"/>
      <w:pPr>
        <w:tabs>
          <w:tab w:val="num" w:pos="3600"/>
        </w:tabs>
        <w:ind w:left="3600" w:hanging="360"/>
      </w:pPr>
    </w:lvl>
    <w:lvl w:ilvl="5" w:tplc="40BCBF86" w:tentative="1">
      <w:start w:val="1"/>
      <w:numFmt w:val="decimal"/>
      <w:lvlText w:val="%6."/>
      <w:lvlJc w:val="left"/>
      <w:pPr>
        <w:tabs>
          <w:tab w:val="num" w:pos="4320"/>
        </w:tabs>
        <w:ind w:left="4320" w:hanging="360"/>
      </w:pPr>
    </w:lvl>
    <w:lvl w:ilvl="6" w:tplc="2890761A" w:tentative="1">
      <w:start w:val="1"/>
      <w:numFmt w:val="decimal"/>
      <w:lvlText w:val="%7."/>
      <w:lvlJc w:val="left"/>
      <w:pPr>
        <w:tabs>
          <w:tab w:val="num" w:pos="5040"/>
        </w:tabs>
        <w:ind w:left="5040" w:hanging="360"/>
      </w:pPr>
    </w:lvl>
    <w:lvl w:ilvl="7" w:tplc="5EA098C4" w:tentative="1">
      <w:start w:val="1"/>
      <w:numFmt w:val="decimal"/>
      <w:lvlText w:val="%8."/>
      <w:lvlJc w:val="left"/>
      <w:pPr>
        <w:tabs>
          <w:tab w:val="num" w:pos="5760"/>
        </w:tabs>
        <w:ind w:left="5760" w:hanging="360"/>
      </w:pPr>
    </w:lvl>
    <w:lvl w:ilvl="8" w:tplc="287C9702" w:tentative="1">
      <w:start w:val="1"/>
      <w:numFmt w:val="decimal"/>
      <w:lvlText w:val="%9."/>
      <w:lvlJc w:val="left"/>
      <w:pPr>
        <w:tabs>
          <w:tab w:val="num" w:pos="6480"/>
        </w:tabs>
        <w:ind w:left="6480" w:hanging="360"/>
      </w:pPr>
    </w:lvl>
  </w:abstractNum>
  <w:abstractNum w:abstractNumId="24">
    <w:nsid w:val="59C75F72"/>
    <w:multiLevelType w:val="hybridMultilevel"/>
    <w:tmpl w:val="A9B04D32"/>
    <w:lvl w:ilvl="0" w:tplc="F1202010">
      <w:start w:val="2"/>
      <w:numFmt w:val="upperLetter"/>
      <w:lvlText w:val="%1."/>
      <w:lvlJc w:val="left"/>
      <w:pPr>
        <w:tabs>
          <w:tab w:val="num" w:pos="720"/>
        </w:tabs>
        <w:ind w:left="720" w:hanging="360"/>
      </w:pPr>
    </w:lvl>
    <w:lvl w:ilvl="1" w:tplc="7CFAE5B6" w:tentative="1">
      <w:start w:val="1"/>
      <w:numFmt w:val="decimal"/>
      <w:lvlText w:val="%2."/>
      <w:lvlJc w:val="left"/>
      <w:pPr>
        <w:tabs>
          <w:tab w:val="num" w:pos="1440"/>
        </w:tabs>
        <w:ind w:left="1440" w:hanging="360"/>
      </w:pPr>
    </w:lvl>
    <w:lvl w:ilvl="2" w:tplc="218A06D4" w:tentative="1">
      <w:start w:val="1"/>
      <w:numFmt w:val="decimal"/>
      <w:lvlText w:val="%3."/>
      <w:lvlJc w:val="left"/>
      <w:pPr>
        <w:tabs>
          <w:tab w:val="num" w:pos="2160"/>
        </w:tabs>
        <w:ind w:left="2160" w:hanging="360"/>
      </w:pPr>
    </w:lvl>
    <w:lvl w:ilvl="3" w:tplc="36666F98" w:tentative="1">
      <w:start w:val="1"/>
      <w:numFmt w:val="decimal"/>
      <w:lvlText w:val="%4."/>
      <w:lvlJc w:val="left"/>
      <w:pPr>
        <w:tabs>
          <w:tab w:val="num" w:pos="2880"/>
        </w:tabs>
        <w:ind w:left="2880" w:hanging="360"/>
      </w:pPr>
    </w:lvl>
    <w:lvl w:ilvl="4" w:tplc="722C9034" w:tentative="1">
      <w:start w:val="1"/>
      <w:numFmt w:val="decimal"/>
      <w:lvlText w:val="%5."/>
      <w:lvlJc w:val="left"/>
      <w:pPr>
        <w:tabs>
          <w:tab w:val="num" w:pos="3600"/>
        </w:tabs>
        <w:ind w:left="3600" w:hanging="360"/>
      </w:pPr>
    </w:lvl>
    <w:lvl w:ilvl="5" w:tplc="C56EA25C" w:tentative="1">
      <w:start w:val="1"/>
      <w:numFmt w:val="decimal"/>
      <w:lvlText w:val="%6."/>
      <w:lvlJc w:val="left"/>
      <w:pPr>
        <w:tabs>
          <w:tab w:val="num" w:pos="4320"/>
        </w:tabs>
        <w:ind w:left="4320" w:hanging="360"/>
      </w:pPr>
    </w:lvl>
    <w:lvl w:ilvl="6" w:tplc="55062EAA" w:tentative="1">
      <w:start w:val="1"/>
      <w:numFmt w:val="decimal"/>
      <w:lvlText w:val="%7."/>
      <w:lvlJc w:val="left"/>
      <w:pPr>
        <w:tabs>
          <w:tab w:val="num" w:pos="5040"/>
        </w:tabs>
        <w:ind w:left="5040" w:hanging="360"/>
      </w:pPr>
    </w:lvl>
    <w:lvl w:ilvl="7" w:tplc="B9B4AE28" w:tentative="1">
      <w:start w:val="1"/>
      <w:numFmt w:val="decimal"/>
      <w:lvlText w:val="%8."/>
      <w:lvlJc w:val="left"/>
      <w:pPr>
        <w:tabs>
          <w:tab w:val="num" w:pos="5760"/>
        </w:tabs>
        <w:ind w:left="5760" w:hanging="360"/>
      </w:pPr>
    </w:lvl>
    <w:lvl w:ilvl="8" w:tplc="D9C88660" w:tentative="1">
      <w:start w:val="1"/>
      <w:numFmt w:val="decimal"/>
      <w:lvlText w:val="%9."/>
      <w:lvlJc w:val="left"/>
      <w:pPr>
        <w:tabs>
          <w:tab w:val="num" w:pos="6480"/>
        </w:tabs>
        <w:ind w:left="6480" w:hanging="360"/>
      </w:pPr>
    </w:lvl>
  </w:abstractNum>
  <w:abstractNum w:abstractNumId="25">
    <w:nsid w:val="59E97EA6"/>
    <w:multiLevelType w:val="hybridMultilevel"/>
    <w:tmpl w:val="7A08EC32"/>
    <w:lvl w:ilvl="0" w:tplc="F2CAD03E">
      <w:start w:val="1"/>
      <w:numFmt w:val="lowerLetter"/>
      <w:lvlText w:val="(%1)"/>
      <w:lvlJc w:val="left"/>
      <w:pPr>
        <w:ind w:left="1352" w:hanging="360"/>
      </w:pPr>
      <w:rPr>
        <w:rFonts w:eastAsia="Calibri" w:hint="default"/>
        <w:i w:val="0"/>
      </w:rPr>
    </w:lvl>
    <w:lvl w:ilvl="1" w:tplc="2C0A0019" w:tentative="1">
      <w:start w:val="1"/>
      <w:numFmt w:val="lowerLetter"/>
      <w:lvlText w:val="%2."/>
      <w:lvlJc w:val="left"/>
      <w:pPr>
        <w:ind w:left="2072" w:hanging="360"/>
      </w:pPr>
    </w:lvl>
    <w:lvl w:ilvl="2" w:tplc="2C0A001B" w:tentative="1">
      <w:start w:val="1"/>
      <w:numFmt w:val="lowerRoman"/>
      <w:lvlText w:val="%3."/>
      <w:lvlJc w:val="right"/>
      <w:pPr>
        <w:ind w:left="2792" w:hanging="180"/>
      </w:pPr>
    </w:lvl>
    <w:lvl w:ilvl="3" w:tplc="2C0A000F" w:tentative="1">
      <w:start w:val="1"/>
      <w:numFmt w:val="decimal"/>
      <w:lvlText w:val="%4."/>
      <w:lvlJc w:val="left"/>
      <w:pPr>
        <w:ind w:left="3512" w:hanging="360"/>
      </w:pPr>
    </w:lvl>
    <w:lvl w:ilvl="4" w:tplc="2C0A0019" w:tentative="1">
      <w:start w:val="1"/>
      <w:numFmt w:val="lowerLetter"/>
      <w:lvlText w:val="%5."/>
      <w:lvlJc w:val="left"/>
      <w:pPr>
        <w:ind w:left="4232" w:hanging="360"/>
      </w:pPr>
    </w:lvl>
    <w:lvl w:ilvl="5" w:tplc="2C0A001B" w:tentative="1">
      <w:start w:val="1"/>
      <w:numFmt w:val="lowerRoman"/>
      <w:lvlText w:val="%6."/>
      <w:lvlJc w:val="right"/>
      <w:pPr>
        <w:ind w:left="4952" w:hanging="180"/>
      </w:pPr>
    </w:lvl>
    <w:lvl w:ilvl="6" w:tplc="2C0A000F" w:tentative="1">
      <w:start w:val="1"/>
      <w:numFmt w:val="decimal"/>
      <w:lvlText w:val="%7."/>
      <w:lvlJc w:val="left"/>
      <w:pPr>
        <w:ind w:left="5672" w:hanging="360"/>
      </w:pPr>
    </w:lvl>
    <w:lvl w:ilvl="7" w:tplc="2C0A0019" w:tentative="1">
      <w:start w:val="1"/>
      <w:numFmt w:val="lowerLetter"/>
      <w:lvlText w:val="%8."/>
      <w:lvlJc w:val="left"/>
      <w:pPr>
        <w:ind w:left="6392" w:hanging="360"/>
      </w:pPr>
    </w:lvl>
    <w:lvl w:ilvl="8" w:tplc="2C0A001B" w:tentative="1">
      <w:start w:val="1"/>
      <w:numFmt w:val="lowerRoman"/>
      <w:lvlText w:val="%9."/>
      <w:lvlJc w:val="right"/>
      <w:pPr>
        <w:ind w:left="7112" w:hanging="180"/>
      </w:pPr>
    </w:lvl>
  </w:abstractNum>
  <w:abstractNum w:abstractNumId="26">
    <w:nsid w:val="6C3029A7"/>
    <w:multiLevelType w:val="hybridMultilevel"/>
    <w:tmpl w:val="2D8495B2"/>
    <w:lvl w:ilvl="0" w:tplc="3E9AED7C">
      <w:start w:val="5"/>
      <w:numFmt w:val="upperLetter"/>
      <w:lvlText w:val="%1."/>
      <w:lvlJc w:val="left"/>
      <w:pPr>
        <w:tabs>
          <w:tab w:val="num" w:pos="720"/>
        </w:tabs>
        <w:ind w:left="720" w:hanging="360"/>
      </w:pPr>
    </w:lvl>
    <w:lvl w:ilvl="1" w:tplc="68DAF258" w:tentative="1">
      <w:start w:val="1"/>
      <w:numFmt w:val="decimal"/>
      <w:lvlText w:val="%2."/>
      <w:lvlJc w:val="left"/>
      <w:pPr>
        <w:tabs>
          <w:tab w:val="num" w:pos="1440"/>
        </w:tabs>
        <w:ind w:left="1440" w:hanging="360"/>
      </w:pPr>
    </w:lvl>
    <w:lvl w:ilvl="2" w:tplc="AD28577A" w:tentative="1">
      <w:start w:val="1"/>
      <w:numFmt w:val="decimal"/>
      <w:lvlText w:val="%3."/>
      <w:lvlJc w:val="left"/>
      <w:pPr>
        <w:tabs>
          <w:tab w:val="num" w:pos="2160"/>
        </w:tabs>
        <w:ind w:left="2160" w:hanging="360"/>
      </w:pPr>
    </w:lvl>
    <w:lvl w:ilvl="3" w:tplc="5A18D162" w:tentative="1">
      <w:start w:val="1"/>
      <w:numFmt w:val="decimal"/>
      <w:lvlText w:val="%4."/>
      <w:lvlJc w:val="left"/>
      <w:pPr>
        <w:tabs>
          <w:tab w:val="num" w:pos="2880"/>
        </w:tabs>
        <w:ind w:left="2880" w:hanging="360"/>
      </w:pPr>
    </w:lvl>
    <w:lvl w:ilvl="4" w:tplc="503A49AC" w:tentative="1">
      <w:start w:val="1"/>
      <w:numFmt w:val="decimal"/>
      <w:lvlText w:val="%5."/>
      <w:lvlJc w:val="left"/>
      <w:pPr>
        <w:tabs>
          <w:tab w:val="num" w:pos="3600"/>
        </w:tabs>
        <w:ind w:left="3600" w:hanging="360"/>
      </w:pPr>
    </w:lvl>
    <w:lvl w:ilvl="5" w:tplc="ACF0261C" w:tentative="1">
      <w:start w:val="1"/>
      <w:numFmt w:val="decimal"/>
      <w:lvlText w:val="%6."/>
      <w:lvlJc w:val="left"/>
      <w:pPr>
        <w:tabs>
          <w:tab w:val="num" w:pos="4320"/>
        </w:tabs>
        <w:ind w:left="4320" w:hanging="360"/>
      </w:pPr>
    </w:lvl>
    <w:lvl w:ilvl="6" w:tplc="5392890E" w:tentative="1">
      <w:start w:val="1"/>
      <w:numFmt w:val="decimal"/>
      <w:lvlText w:val="%7."/>
      <w:lvlJc w:val="left"/>
      <w:pPr>
        <w:tabs>
          <w:tab w:val="num" w:pos="5040"/>
        </w:tabs>
        <w:ind w:left="5040" w:hanging="360"/>
      </w:pPr>
    </w:lvl>
    <w:lvl w:ilvl="7" w:tplc="797614B2" w:tentative="1">
      <w:start w:val="1"/>
      <w:numFmt w:val="decimal"/>
      <w:lvlText w:val="%8."/>
      <w:lvlJc w:val="left"/>
      <w:pPr>
        <w:tabs>
          <w:tab w:val="num" w:pos="5760"/>
        </w:tabs>
        <w:ind w:left="5760" w:hanging="360"/>
      </w:pPr>
    </w:lvl>
    <w:lvl w:ilvl="8" w:tplc="672A1AF4" w:tentative="1">
      <w:start w:val="1"/>
      <w:numFmt w:val="decimal"/>
      <w:lvlText w:val="%9."/>
      <w:lvlJc w:val="left"/>
      <w:pPr>
        <w:tabs>
          <w:tab w:val="num" w:pos="6480"/>
        </w:tabs>
        <w:ind w:left="6480" w:hanging="360"/>
      </w:pPr>
    </w:lvl>
  </w:abstractNum>
  <w:abstractNum w:abstractNumId="27">
    <w:nsid w:val="6D220D8F"/>
    <w:multiLevelType w:val="hybridMultilevel"/>
    <w:tmpl w:val="6AC0A9B2"/>
    <w:lvl w:ilvl="0" w:tplc="B596A9B8">
      <w:start w:val="1"/>
      <w:numFmt w:val="decimal"/>
      <w:lvlText w:val="(%1)"/>
      <w:lvlJc w:val="left"/>
      <w:pPr>
        <w:ind w:left="1352" w:hanging="360"/>
      </w:pPr>
      <w:rPr>
        <w:rFonts w:hint="default"/>
        <w:b/>
        <w:i/>
      </w:rPr>
    </w:lvl>
    <w:lvl w:ilvl="1" w:tplc="2C0A0019" w:tentative="1">
      <w:start w:val="1"/>
      <w:numFmt w:val="lowerLetter"/>
      <w:lvlText w:val="%2."/>
      <w:lvlJc w:val="left"/>
      <w:pPr>
        <w:ind w:left="2072" w:hanging="360"/>
      </w:pPr>
    </w:lvl>
    <w:lvl w:ilvl="2" w:tplc="2C0A001B" w:tentative="1">
      <w:start w:val="1"/>
      <w:numFmt w:val="lowerRoman"/>
      <w:lvlText w:val="%3."/>
      <w:lvlJc w:val="right"/>
      <w:pPr>
        <w:ind w:left="2792" w:hanging="180"/>
      </w:pPr>
    </w:lvl>
    <w:lvl w:ilvl="3" w:tplc="2C0A000F" w:tentative="1">
      <w:start w:val="1"/>
      <w:numFmt w:val="decimal"/>
      <w:lvlText w:val="%4."/>
      <w:lvlJc w:val="left"/>
      <w:pPr>
        <w:ind w:left="3512" w:hanging="360"/>
      </w:pPr>
    </w:lvl>
    <w:lvl w:ilvl="4" w:tplc="2C0A0019" w:tentative="1">
      <w:start w:val="1"/>
      <w:numFmt w:val="lowerLetter"/>
      <w:lvlText w:val="%5."/>
      <w:lvlJc w:val="left"/>
      <w:pPr>
        <w:ind w:left="4232" w:hanging="360"/>
      </w:pPr>
    </w:lvl>
    <w:lvl w:ilvl="5" w:tplc="2C0A001B" w:tentative="1">
      <w:start w:val="1"/>
      <w:numFmt w:val="lowerRoman"/>
      <w:lvlText w:val="%6."/>
      <w:lvlJc w:val="right"/>
      <w:pPr>
        <w:ind w:left="4952" w:hanging="180"/>
      </w:pPr>
    </w:lvl>
    <w:lvl w:ilvl="6" w:tplc="2C0A000F" w:tentative="1">
      <w:start w:val="1"/>
      <w:numFmt w:val="decimal"/>
      <w:lvlText w:val="%7."/>
      <w:lvlJc w:val="left"/>
      <w:pPr>
        <w:ind w:left="5672" w:hanging="360"/>
      </w:pPr>
    </w:lvl>
    <w:lvl w:ilvl="7" w:tplc="2C0A0019" w:tentative="1">
      <w:start w:val="1"/>
      <w:numFmt w:val="lowerLetter"/>
      <w:lvlText w:val="%8."/>
      <w:lvlJc w:val="left"/>
      <w:pPr>
        <w:ind w:left="6392" w:hanging="360"/>
      </w:pPr>
    </w:lvl>
    <w:lvl w:ilvl="8" w:tplc="2C0A001B" w:tentative="1">
      <w:start w:val="1"/>
      <w:numFmt w:val="lowerRoman"/>
      <w:lvlText w:val="%9."/>
      <w:lvlJc w:val="right"/>
      <w:pPr>
        <w:ind w:left="7112" w:hanging="180"/>
      </w:pPr>
    </w:lvl>
  </w:abstractNum>
  <w:abstractNum w:abstractNumId="28">
    <w:nsid w:val="6DAE039C"/>
    <w:multiLevelType w:val="hybridMultilevel"/>
    <w:tmpl w:val="55BEEDB2"/>
    <w:lvl w:ilvl="0" w:tplc="7E1A4FA0">
      <w:start w:val="1"/>
      <w:numFmt w:val="lowerLetter"/>
      <w:lvlText w:val="(%1)"/>
      <w:lvlJc w:val="left"/>
      <w:pPr>
        <w:ind w:left="1211" w:hanging="360"/>
      </w:pPr>
      <w:rPr>
        <w:rFonts w:hint="default"/>
        <w:color w:val="auto"/>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29">
    <w:nsid w:val="6EE52712"/>
    <w:multiLevelType w:val="hybridMultilevel"/>
    <w:tmpl w:val="3B28BA96"/>
    <w:lvl w:ilvl="0" w:tplc="AA224E8C">
      <w:start w:val="1"/>
      <w:numFmt w:val="lowerRoman"/>
      <w:lvlText w:val="(%1)"/>
      <w:lvlJc w:val="left"/>
      <w:pPr>
        <w:ind w:left="1350" w:hanging="720"/>
      </w:pPr>
      <w:rPr>
        <w:rFonts w:ascii="Times New Roman" w:hAnsi="Times New Roman" w:cs="Times New Roman"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30">
    <w:nsid w:val="792F5827"/>
    <w:multiLevelType w:val="multilevel"/>
    <w:tmpl w:val="3786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946084"/>
    <w:multiLevelType w:val="hybridMultilevel"/>
    <w:tmpl w:val="661E1566"/>
    <w:lvl w:ilvl="0" w:tplc="64EC343C">
      <w:start w:val="1"/>
      <w:numFmt w:val="lowerLetter"/>
      <w:lvlText w:val="(%1)"/>
      <w:lvlJc w:val="left"/>
      <w:pPr>
        <w:ind w:left="1211" w:hanging="360"/>
      </w:pPr>
      <w:rPr>
        <w:rFonts w:hint="default"/>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32">
    <w:nsid w:val="7DE75A2F"/>
    <w:multiLevelType w:val="hybridMultilevel"/>
    <w:tmpl w:val="C90C7B9C"/>
    <w:lvl w:ilvl="0" w:tplc="9E12B870">
      <w:start w:val="1"/>
      <w:numFmt w:val="lowerRoman"/>
      <w:lvlText w:val="(%1)"/>
      <w:lvlJc w:val="left"/>
      <w:pPr>
        <w:ind w:left="718" w:hanging="360"/>
      </w:pPr>
      <w:rPr>
        <w:rFonts w:cs="Times New Roman" w:hint="default"/>
        <w:b/>
        <w:color w:val="auto"/>
      </w:rPr>
    </w:lvl>
    <w:lvl w:ilvl="1" w:tplc="2C0A0019" w:tentative="1">
      <w:start w:val="1"/>
      <w:numFmt w:val="lowerLetter"/>
      <w:lvlText w:val="%2."/>
      <w:lvlJc w:val="left"/>
      <w:pPr>
        <w:ind w:left="1438" w:hanging="360"/>
      </w:pPr>
    </w:lvl>
    <w:lvl w:ilvl="2" w:tplc="2C0A001B" w:tentative="1">
      <w:start w:val="1"/>
      <w:numFmt w:val="lowerRoman"/>
      <w:lvlText w:val="%3."/>
      <w:lvlJc w:val="right"/>
      <w:pPr>
        <w:ind w:left="2158" w:hanging="180"/>
      </w:pPr>
    </w:lvl>
    <w:lvl w:ilvl="3" w:tplc="2C0A000F" w:tentative="1">
      <w:start w:val="1"/>
      <w:numFmt w:val="decimal"/>
      <w:lvlText w:val="%4."/>
      <w:lvlJc w:val="left"/>
      <w:pPr>
        <w:ind w:left="2878" w:hanging="360"/>
      </w:pPr>
    </w:lvl>
    <w:lvl w:ilvl="4" w:tplc="2C0A0019" w:tentative="1">
      <w:start w:val="1"/>
      <w:numFmt w:val="lowerLetter"/>
      <w:lvlText w:val="%5."/>
      <w:lvlJc w:val="left"/>
      <w:pPr>
        <w:ind w:left="3598" w:hanging="360"/>
      </w:pPr>
    </w:lvl>
    <w:lvl w:ilvl="5" w:tplc="2C0A001B" w:tentative="1">
      <w:start w:val="1"/>
      <w:numFmt w:val="lowerRoman"/>
      <w:lvlText w:val="%6."/>
      <w:lvlJc w:val="right"/>
      <w:pPr>
        <w:ind w:left="4318" w:hanging="180"/>
      </w:pPr>
    </w:lvl>
    <w:lvl w:ilvl="6" w:tplc="2C0A000F" w:tentative="1">
      <w:start w:val="1"/>
      <w:numFmt w:val="decimal"/>
      <w:lvlText w:val="%7."/>
      <w:lvlJc w:val="left"/>
      <w:pPr>
        <w:ind w:left="5038" w:hanging="360"/>
      </w:pPr>
    </w:lvl>
    <w:lvl w:ilvl="7" w:tplc="2C0A0019" w:tentative="1">
      <w:start w:val="1"/>
      <w:numFmt w:val="lowerLetter"/>
      <w:lvlText w:val="%8."/>
      <w:lvlJc w:val="left"/>
      <w:pPr>
        <w:ind w:left="5758" w:hanging="360"/>
      </w:pPr>
    </w:lvl>
    <w:lvl w:ilvl="8" w:tplc="2C0A001B" w:tentative="1">
      <w:start w:val="1"/>
      <w:numFmt w:val="lowerRoman"/>
      <w:lvlText w:val="%9."/>
      <w:lvlJc w:val="right"/>
      <w:pPr>
        <w:ind w:left="6478" w:hanging="180"/>
      </w:pPr>
    </w:lvl>
  </w:abstractNum>
  <w:num w:numId="1">
    <w:abstractNumId w:val="32"/>
  </w:num>
  <w:num w:numId="2">
    <w:abstractNumId w:val="19"/>
  </w:num>
  <w:num w:numId="3">
    <w:abstractNumId w:val="12"/>
  </w:num>
  <w:num w:numId="4">
    <w:abstractNumId w:val="15"/>
  </w:num>
  <w:num w:numId="5">
    <w:abstractNumId w:val="13"/>
  </w:num>
  <w:num w:numId="6">
    <w:abstractNumId w:val="3"/>
  </w:num>
  <w:num w:numId="7">
    <w:abstractNumId w:val="6"/>
  </w:num>
  <w:num w:numId="8">
    <w:abstractNumId w:val="1"/>
  </w:num>
  <w:num w:numId="9">
    <w:abstractNumId w:val="4"/>
  </w:num>
  <w:num w:numId="10">
    <w:abstractNumId w:val="9"/>
  </w:num>
  <w:num w:numId="11">
    <w:abstractNumId w:val="18"/>
  </w:num>
  <w:num w:numId="12">
    <w:abstractNumId w:val="0"/>
  </w:num>
  <w:num w:numId="13">
    <w:abstractNumId w:val="2"/>
  </w:num>
  <w:num w:numId="14">
    <w:abstractNumId w:val="28"/>
  </w:num>
  <w:num w:numId="15">
    <w:abstractNumId w:val="29"/>
  </w:num>
  <w:num w:numId="16">
    <w:abstractNumId w:val="31"/>
  </w:num>
  <w:num w:numId="17">
    <w:abstractNumId w:val="21"/>
  </w:num>
  <w:num w:numId="18">
    <w:abstractNumId w:val="16"/>
  </w:num>
  <w:num w:numId="19">
    <w:abstractNumId w:val="30"/>
    <w:lvlOverride w:ilvl="0">
      <w:lvl w:ilvl="0">
        <w:numFmt w:val="upperLetter"/>
        <w:lvlText w:val="%1."/>
        <w:lvlJc w:val="left"/>
      </w:lvl>
    </w:lvlOverride>
  </w:num>
  <w:num w:numId="20">
    <w:abstractNumId w:val="24"/>
  </w:num>
  <w:num w:numId="21">
    <w:abstractNumId w:val="14"/>
  </w:num>
  <w:num w:numId="22">
    <w:abstractNumId w:val="17"/>
  </w:num>
  <w:num w:numId="23">
    <w:abstractNumId w:val="7"/>
  </w:num>
  <w:num w:numId="24">
    <w:abstractNumId w:val="26"/>
  </w:num>
  <w:num w:numId="25">
    <w:abstractNumId w:val="23"/>
  </w:num>
  <w:num w:numId="26">
    <w:abstractNumId w:val="10"/>
  </w:num>
  <w:num w:numId="27">
    <w:abstractNumId w:val="22"/>
  </w:num>
  <w:num w:numId="28">
    <w:abstractNumId w:val="11"/>
  </w:num>
  <w:num w:numId="29">
    <w:abstractNumId w:val="8"/>
  </w:num>
  <w:num w:numId="30">
    <w:abstractNumId w:val="27"/>
  </w:num>
  <w:num w:numId="31">
    <w:abstractNumId w:val="20"/>
  </w:num>
  <w:num w:numId="32">
    <w:abstractNumId w:val="2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38"/>
    <w:rsid w:val="00000EA2"/>
    <w:rsid w:val="00002EF7"/>
    <w:rsid w:val="00003E01"/>
    <w:rsid w:val="00004FA1"/>
    <w:rsid w:val="00005512"/>
    <w:rsid w:val="00007233"/>
    <w:rsid w:val="00010B28"/>
    <w:rsid w:val="00010F99"/>
    <w:rsid w:val="00011006"/>
    <w:rsid w:val="00013E86"/>
    <w:rsid w:val="000227CA"/>
    <w:rsid w:val="00022827"/>
    <w:rsid w:val="00023A53"/>
    <w:rsid w:val="00024133"/>
    <w:rsid w:val="00024587"/>
    <w:rsid w:val="000247EB"/>
    <w:rsid w:val="00025730"/>
    <w:rsid w:val="00025EA5"/>
    <w:rsid w:val="00030E2A"/>
    <w:rsid w:val="000317A4"/>
    <w:rsid w:val="000319B5"/>
    <w:rsid w:val="00031F6D"/>
    <w:rsid w:val="0003216D"/>
    <w:rsid w:val="00032A09"/>
    <w:rsid w:val="00032BA2"/>
    <w:rsid w:val="0003485D"/>
    <w:rsid w:val="0003647A"/>
    <w:rsid w:val="00037899"/>
    <w:rsid w:val="00037F13"/>
    <w:rsid w:val="00040468"/>
    <w:rsid w:val="00041E2A"/>
    <w:rsid w:val="0004210C"/>
    <w:rsid w:val="00042C9F"/>
    <w:rsid w:val="000430F3"/>
    <w:rsid w:val="000449B6"/>
    <w:rsid w:val="0004670C"/>
    <w:rsid w:val="00047015"/>
    <w:rsid w:val="00047C2B"/>
    <w:rsid w:val="00050A11"/>
    <w:rsid w:val="00053969"/>
    <w:rsid w:val="0005396B"/>
    <w:rsid w:val="00055A99"/>
    <w:rsid w:val="00056B1C"/>
    <w:rsid w:val="00061723"/>
    <w:rsid w:val="00061A4B"/>
    <w:rsid w:val="000629B5"/>
    <w:rsid w:val="00063F21"/>
    <w:rsid w:val="00064E84"/>
    <w:rsid w:val="0007191D"/>
    <w:rsid w:val="000744F6"/>
    <w:rsid w:val="000756A0"/>
    <w:rsid w:val="0007590D"/>
    <w:rsid w:val="000779BE"/>
    <w:rsid w:val="0008245D"/>
    <w:rsid w:val="00082FA3"/>
    <w:rsid w:val="000833EA"/>
    <w:rsid w:val="00087A68"/>
    <w:rsid w:val="000901DF"/>
    <w:rsid w:val="00092991"/>
    <w:rsid w:val="00094D91"/>
    <w:rsid w:val="000A0BBE"/>
    <w:rsid w:val="000A1210"/>
    <w:rsid w:val="000A1811"/>
    <w:rsid w:val="000A203D"/>
    <w:rsid w:val="000A4CD5"/>
    <w:rsid w:val="000A74DC"/>
    <w:rsid w:val="000A7EAC"/>
    <w:rsid w:val="000A7F84"/>
    <w:rsid w:val="000B037A"/>
    <w:rsid w:val="000B1387"/>
    <w:rsid w:val="000B196F"/>
    <w:rsid w:val="000B1FD2"/>
    <w:rsid w:val="000B2806"/>
    <w:rsid w:val="000B3767"/>
    <w:rsid w:val="000C3A2C"/>
    <w:rsid w:val="000C569E"/>
    <w:rsid w:val="000C6881"/>
    <w:rsid w:val="000C698A"/>
    <w:rsid w:val="000C7F18"/>
    <w:rsid w:val="000D01F5"/>
    <w:rsid w:val="000D0846"/>
    <w:rsid w:val="000D0F7E"/>
    <w:rsid w:val="000D574C"/>
    <w:rsid w:val="000D7F98"/>
    <w:rsid w:val="000E035D"/>
    <w:rsid w:val="000E11DF"/>
    <w:rsid w:val="000E1F89"/>
    <w:rsid w:val="000E3622"/>
    <w:rsid w:val="000E4EC8"/>
    <w:rsid w:val="000F063A"/>
    <w:rsid w:val="000F1B8A"/>
    <w:rsid w:val="000F42FD"/>
    <w:rsid w:val="000F6163"/>
    <w:rsid w:val="000F77FE"/>
    <w:rsid w:val="001006DB"/>
    <w:rsid w:val="001022E1"/>
    <w:rsid w:val="00102DA9"/>
    <w:rsid w:val="00104E16"/>
    <w:rsid w:val="00104EF6"/>
    <w:rsid w:val="00105B77"/>
    <w:rsid w:val="00106090"/>
    <w:rsid w:val="001062EF"/>
    <w:rsid w:val="00110232"/>
    <w:rsid w:val="0011176E"/>
    <w:rsid w:val="00113D44"/>
    <w:rsid w:val="00114551"/>
    <w:rsid w:val="00115E91"/>
    <w:rsid w:val="001162E4"/>
    <w:rsid w:val="0011729A"/>
    <w:rsid w:val="001242EF"/>
    <w:rsid w:val="0012434B"/>
    <w:rsid w:val="00126A54"/>
    <w:rsid w:val="001300C3"/>
    <w:rsid w:val="00130B87"/>
    <w:rsid w:val="00131ACF"/>
    <w:rsid w:val="00133A0D"/>
    <w:rsid w:val="0013656A"/>
    <w:rsid w:val="001446E1"/>
    <w:rsid w:val="001450BF"/>
    <w:rsid w:val="00146F91"/>
    <w:rsid w:val="00147222"/>
    <w:rsid w:val="001528A1"/>
    <w:rsid w:val="00160E40"/>
    <w:rsid w:val="00162133"/>
    <w:rsid w:val="001622A6"/>
    <w:rsid w:val="00162A37"/>
    <w:rsid w:val="001632F0"/>
    <w:rsid w:val="00163747"/>
    <w:rsid w:val="00165410"/>
    <w:rsid w:val="00166600"/>
    <w:rsid w:val="0017061A"/>
    <w:rsid w:val="00170D97"/>
    <w:rsid w:val="00172AC3"/>
    <w:rsid w:val="00175F8D"/>
    <w:rsid w:val="001760E8"/>
    <w:rsid w:val="0018083A"/>
    <w:rsid w:val="00183D7C"/>
    <w:rsid w:val="00187817"/>
    <w:rsid w:val="00190665"/>
    <w:rsid w:val="00191847"/>
    <w:rsid w:val="00191BF4"/>
    <w:rsid w:val="0019413F"/>
    <w:rsid w:val="00195F2C"/>
    <w:rsid w:val="00195F44"/>
    <w:rsid w:val="001A35E9"/>
    <w:rsid w:val="001A3B99"/>
    <w:rsid w:val="001A42C1"/>
    <w:rsid w:val="001A6CC9"/>
    <w:rsid w:val="001A7317"/>
    <w:rsid w:val="001B09D4"/>
    <w:rsid w:val="001B467C"/>
    <w:rsid w:val="001C0857"/>
    <w:rsid w:val="001C0A7C"/>
    <w:rsid w:val="001C288B"/>
    <w:rsid w:val="001C2C1F"/>
    <w:rsid w:val="001C3D30"/>
    <w:rsid w:val="001C77EA"/>
    <w:rsid w:val="001D1AA2"/>
    <w:rsid w:val="001D1AEC"/>
    <w:rsid w:val="001D2073"/>
    <w:rsid w:val="001D2320"/>
    <w:rsid w:val="001E0B28"/>
    <w:rsid w:val="001E1A19"/>
    <w:rsid w:val="001E2777"/>
    <w:rsid w:val="001E5F43"/>
    <w:rsid w:val="001E644A"/>
    <w:rsid w:val="001F0AAF"/>
    <w:rsid w:val="001F17F2"/>
    <w:rsid w:val="001F2497"/>
    <w:rsid w:val="001F5FA6"/>
    <w:rsid w:val="001F651A"/>
    <w:rsid w:val="001F6574"/>
    <w:rsid w:val="001F71D4"/>
    <w:rsid w:val="002005B0"/>
    <w:rsid w:val="00200738"/>
    <w:rsid w:val="00200CB4"/>
    <w:rsid w:val="0020113E"/>
    <w:rsid w:val="002019FA"/>
    <w:rsid w:val="002027D9"/>
    <w:rsid w:val="002078FE"/>
    <w:rsid w:val="00212245"/>
    <w:rsid w:val="00214269"/>
    <w:rsid w:val="00223738"/>
    <w:rsid w:val="00223E01"/>
    <w:rsid w:val="00224A2D"/>
    <w:rsid w:val="00225EDF"/>
    <w:rsid w:val="0022711B"/>
    <w:rsid w:val="00227445"/>
    <w:rsid w:val="0023175C"/>
    <w:rsid w:val="00232035"/>
    <w:rsid w:val="00233BC8"/>
    <w:rsid w:val="00235BA4"/>
    <w:rsid w:val="002367BC"/>
    <w:rsid w:val="00237DF2"/>
    <w:rsid w:val="00240DC6"/>
    <w:rsid w:val="002416CC"/>
    <w:rsid w:val="00241D60"/>
    <w:rsid w:val="00242A52"/>
    <w:rsid w:val="00243B65"/>
    <w:rsid w:val="002460EF"/>
    <w:rsid w:val="00246754"/>
    <w:rsid w:val="00247246"/>
    <w:rsid w:val="00251EF7"/>
    <w:rsid w:val="00253EF2"/>
    <w:rsid w:val="00253F58"/>
    <w:rsid w:val="00256B3E"/>
    <w:rsid w:val="00260BFC"/>
    <w:rsid w:val="00262388"/>
    <w:rsid w:val="002625AD"/>
    <w:rsid w:val="00262E03"/>
    <w:rsid w:val="00264D33"/>
    <w:rsid w:val="00266457"/>
    <w:rsid w:val="00273F26"/>
    <w:rsid w:val="00274451"/>
    <w:rsid w:val="00274B65"/>
    <w:rsid w:val="00276A4C"/>
    <w:rsid w:val="00281618"/>
    <w:rsid w:val="00281AE4"/>
    <w:rsid w:val="002832B3"/>
    <w:rsid w:val="00283975"/>
    <w:rsid w:val="00285414"/>
    <w:rsid w:val="0028555B"/>
    <w:rsid w:val="002910DD"/>
    <w:rsid w:val="002918A4"/>
    <w:rsid w:val="00293135"/>
    <w:rsid w:val="002939BE"/>
    <w:rsid w:val="00294E56"/>
    <w:rsid w:val="0029714D"/>
    <w:rsid w:val="002A0C4D"/>
    <w:rsid w:val="002A23B9"/>
    <w:rsid w:val="002A40F8"/>
    <w:rsid w:val="002A4563"/>
    <w:rsid w:val="002A4905"/>
    <w:rsid w:val="002B0D5B"/>
    <w:rsid w:val="002B1E15"/>
    <w:rsid w:val="002B4A3C"/>
    <w:rsid w:val="002B5AC6"/>
    <w:rsid w:val="002B5AFC"/>
    <w:rsid w:val="002B760D"/>
    <w:rsid w:val="002C035B"/>
    <w:rsid w:val="002C0AAC"/>
    <w:rsid w:val="002C0D7D"/>
    <w:rsid w:val="002C2503"/>
    <w:rsid w:val="002C4197"/>
    <w:rsid w:val="002D0F76"/>
    <w:rsid w:val="002D2723"/>
    <w:rsid w:val="002D4490"/>
    <w:rsid w:val="002D46F5"/>
    <w:rsid w:val="002D6100"/>
    <w:rsid w:val="002D66E8"/>
    <w:rsid w:val="002E1454"/>
    <w:rsid w:val="002E18ED"/>
    <w:rsid w:val="002E1DC6"/>
    <w:rsid w:val="002E2D5B"/>
    <w:rsid w:val="002E6F9C"/>
    <w:rsid w:val="002E700E"/>
    <w:rsid w:val="002F2614"/>
    <w:rsid w:val="002F6BE9"/>
    <w:rsid w:val="002F73F2"/>
    <w:rsid w:val="002F74C9"/>
    <w:rsid w:val="002F7BB2"/>
    <w:rsid w:val="00301638"/>
    <w:rsid w:val="00301ABE"/>
    <w:rsid w:val="00302712"/>
    <w:rsid w:val="00302D17"/>
    <w:rsid w:val="0030475A"/>
    <w:rsid w:val="00304FFE"/>
    <w:rsid w:val="003053A0"/>
    <w:rsid w:val="00307836"/>
    <w:rsid w:val="00310976"/>
    <w:rsid w:val="00311E5F"/>
    <w:rsid w:val="0031304C"/>
    <w:rsid w:val="0031307F"/>
    <w:rsid w:val="00313266"/>
    <w:rsid w:val="0031439C"/>
    <w:rsid w:val="00316148"/>
    <w:rsid w:val="0031640E"/>
    <w:rsid w:val="00316944"/>
    <w:rsid w:val="0032028C"/>
    <w:rsid w:val="00321942"/>
    <w:rsid w:val="003221AE"/>
    <w:rsid w:val="00326838"/>
    <w:rsid w:val="003313D2"/>
    <w:rsid w:val="00333FA9"/>
    <w:rsid w:val="00334085"/>
    <w:rsid w:val="00341E6E"/>
    <w:rsid w:val="00343F08"/>
    <w:rsid w:val="00344CB1"/>
    <w:rsid w:val="00346A91"/>
    <w:rsid w:val="003503E4"/>
    <w:rsid w:val="003507FE"/>
    <w:rsid w:val="003512A2"/>
    <w:rsid w:val="00351D5E"/>
    <w:rsid w:val="00352BE1"/>
    <w:rsid w:val="00355909"/>
    <w:rsid w:val="00361629"/>
    <w:rsid w:val="00362013"/>
    <w:rsid w:val="003623BC"/>
    <w:rsid w:val="00362953"/>
    <w:rsid w:val="0036691F"/>
    <w:rsid w:val="003729FD"/>
    <w:rsid w:val="00380521"/>
    <w:rsid w:val="003814DD"/>
    <w:rsid w:val="0038241B"/>
    <w:rsid w:val="00384714"/>
    <w:rsid w:val="00386B52"/>
    <w:rsid w:val="0038723F"/>
    <w:rsid w:val="003922CD"/>
    <w:rsid w:val="003932D4"/>
    <w:rsid w:val="00394B54"/>
    <w:rsid w:val="00395334"/>
    <w:rsid w:val="00397A0F"/>
    <w:rsid w:val="003A1437"/>
    <w:rsid w:val="003A1A02"/>
    <w:rsid w:val="003A2363"/>
    <w:rsid w:val="003A333C"/>
    <w:rsid w:val="003B241B"/>
    <w:rsid w:val="003B3425"/>
    <w:rsid w:val="003C4D71"/>
    <w:rsid w:val="003C7232"/>
    <w:rsid w:val="003D0410"/>
    <w:rsid w:val="003D074D"/>
    <w:rsid w:val="003D18A5"/>
    <w:rsid w:val="003D2F10"/>
    <w:rsid w:val="003D347A"/>
    <w:rsid w:val="003D5140"/>
    <w:rsid w:val="003D6142"/>
    <w:rsid w:val="003D7641"/>
    <w:rsid w:val="003E04DA"/>
    <w:rsid w:val="003E0790"/>
    <w:rsid w:val="003E13B9"/>
    <w:rsid w:val="003E3984"/>
    <w:rsid w:val="003E61C2"/>
    <w:rsid w:val="003E7F77"/>
    <w:rsid w:val="003F110E"/>
    <w:rsid w:val="003F14C4"/>
    <w:rsid w:val="003F3517"/>
    <w:rsid w:val="003F38A7"/>
    <w:rsid w:val="003F4161"/>
    <w:rsid w:val="003F5406"/>
    <w:rsid w:val="003F685D"/>
    <w:rsid w:val="004011DE"/>
    <w:rsid w:val="00403C9B"/>
    <w:rsid w:val="00405068"/>
    <w:rsid w:val="004055B7"/>
    <w:rsid w:val="004056CC"/>
    <w:rsid w:val="00405F0A"/>
    <w:rsid w:val="00411FF3"/>
    <w:rsid w:val="0041296B"/>
    <w:rsid w:val="004219E8"/>
    <w:rsid w:val="004221A4"/>
    <w:rsid w:val="00422EB4"/>
    <w:rsid w:val="004262D5"/>
    <w:rsid w:val="00426AA2"/>
    <w:rsid w:val="004270E8"/>
    <w:rsid w:val="004308F1"/>
    <w:rsid w:val="00432A97"/>
    <w:rsid w:val="00433943"/>
    <w:rsid w:val="004339B2"/>
    <w:rsid w:val="0043425A"/>
    <w:rsid w:val="00435D72"/>
    <w:rsid w:val="00437479"/>
    <w:rsid w:val="004377FB"/>
    <w:rsid w:val="00440CB3"/>
    <w:rsid w:val="0044146A"/>
    <w:rsid w:val="004414A2"/>
    <w:rsid w:val="004439AB"/>
    <w:rsid w:val="00444058"/>
    <w:rsid w:val="00446963"/>
    <w:rsid w:val="004475F4"/>
    <w:rsid w:val="00452B0E"/>
    <w:rsid w:val="00454931"/>
    <w:rsid w:val="004565B6"/>
    <w:rsid w:val="00460121"/>
    <w:rsid w:val="00467895"/>
    <w:rsid w:val="00467CFC"/>
    <w:rsid w:val="004711F9"/>
    <w:rsid w:val="0047144F"/>
    <w:rsid w:val="00472148"/>
    <w:rsid w:val="00476BD3"/>
    <w:rsid w:val="00477608"/>
    <w:rsid w:val="00481E90"/>
    <w:rsid w:val="00482DA9"/>
    <w:rsid w:val="004832C4"/>
    <w:rsid w:val="00484BCB"/>
    <w:rsid w:val="00484EBA"/>
    <w:rsid w:val="0048599A"/>
    <w:rsid w:val="0048618D"/>
    <w:rsid w:val="00487829"/>
    <w:rsid w:val="00487D4A"/>
    <w:rsid w:val="00487E9F"/>
    <w:rsid w:val="00490558"/>
    <w:rsid w:val="00491D63"/>
    <w:rsid w:val="004925ED"/>
    <w:rsid w:val="00495F8F"/>
    <w:rsid w:val="00496758"/>
    <w:rsid w:val="004A0F4E"/>
    <w:rsid w:val="004A37B1"/>
    <w:rsid w:val="004A46AE"/>
    <w:rsid w:val="004B4263"/>
    <w:rsid w:val="004B55CB"/>
    <w:rsid w:val="004B5F0F"/>
    <w:rsid w:val="004B689F"/>
    <w:rsid w:val="004C0B5C"/>
    <w:rsid w:val="004C1700"/>
    <w:rsid w:val="004C18C2"/>
    <w:rsid w:val="004C2D67"/>
    <w:rsid w:val="004D20A7"/>
    <w:rsid w:val="004D365C"/>
    <w:rsid w:val="004D63B0"/>
    <w:rsid w:val="004D77A7"/>
    <w:rsid w:val="004E112C"/>
    <w:rsid w:val="004E151E"/>
    <w:rsid w:val="004E2059"/>
    <w:rsid w:val="004E3C1A"/>
    <w:rsid w:val="004E43C7"/>
    <w:rsid w:val="004E7C62"/>
    <w:rsid w:val="004F038F"/>
    <w:rsid w:val="004F05C0"/>
    <w:rsid w:val="004F12C2"/>
    <w:rsid w:val="004F1BF5"/>
    <w:rsid w:val="004F2C47"/>
    <w:rsid w:val="004F3995"/>
    <w:rsid w:val="004F4703"/>
    <w:rsid w:val="004F4D87"/>
    <w:rsid w:val="004F4DD6"/>
    <w:rsid w:val="00500746"/>
    <w:rsid w:val="00500C00"/>
    <w:rsid w:val="00501B5E"/>
    <w:rsid w:val="00502355"/>
    <w:rsid w:val="00511434"/>
    <w:rsid w:val="00511850"/>
    <w:rsid w:val="00513545"/>
    <w:rsid w:val="00513682"/>
    <w:rsid w:val="00516089"/>
    <w:rsid w:val="00517B0D"/>
    <w:rsid w:val="0052005B"/>
    <w:rsid w:val="00523125"/>
    <w:rsid w:val="00523952"/>
    <w:rsid w:val="00523E04"/>
    <w:rsid w:val="00525ACD"/>
    <w:rsid w:val="00527ACA"/>
    <w:rsid w:val="005306F2"/>
    <w:rsid w:val="005328D2"/>
    <w:rsid w:val="00534DAF"/>
    <w:rsid w:val="00536087"/>
    <w:rsid w:val="00536BBF"/>
    <w:rsid w:val="005416CD"/>
    <w:rsid w:val="00541C4B"/>
    <w:rsid w:val="005436F7"/>
    <w:rsid w:val="00543B83"/>
    <w:rsid w:val="00543F6A"/>
    <w:rsid w:val="005446D2"/>
    <w:rsid w:val="005500EB"/>
    <w:rsid w:val="0055089D"/>
    <w:rsid w:val="005522B4"/>
    <w:rsid w:val="00555D8E"/>
    <w:rsid w:val="00556471"/>
    <w:rsid w:val="00557887"/>
    <w:rsid w:val="00560708"/>
    <w:rsid w:val="00563EF9"/>
    <w:rsid w:val="005658D1"/>
    <w:rsid w:val="00566749"/>
    <w:rsid w:val="00566920"/>
    <w:rsid w:val="0057062D"/>
    <w:rsid w:val="00571DA7"/>
    <w:rsid w:val="00572502"/>
    <w:rsid w:val="00575A87"/>
    <w:rsid w:val="005804DD"/>
    <w:rsid w:val="00580DE0"/>
    <w:rsid w:val="00581923"/>
    <w:rsid w:val="0058293E"/>
    <w:rsid w:val="005835CC"/>
    <w:rsid w:val="00584BCB"/>
    <w:rsid w:val="005857F0"/>
    <w:rsid w:val="00592A61"/>
    <w:rsid w:val="00593EC3"/>
    <w:rsid w:val="00595499"/>
    <w:rsid w:val="00596918"/>
    <w:rsid w:val="00596F72"/>
    <w:rsid w:val="005A1147"/>
    <w:rsid w:val="005A1AE6"/>
    <w:rsid w:val="005A50EA"/>
    <w:rsid w:val="005A5E2A"/>
    <w:rsid w:val="005A63EA"/>
    <w:rsid w:val="005B3076"/>
    <w:rsid w:val="005B76C0"/>
    <w:rsid w:val="005C20E8"/>
    <w:rsid w:val="005C388C"/>
    <w:rsid w:val="005C5AE2"/>
    <w:rsid w:val="005D132B"/>
    <w:rsid w:val="005D18EC"/>
    <w:rsid w:val="005D334A"/>
    <w:rsid w:val="005D425F"/>
    <w:rsid w:val="005D47BA"/>
    <w:rsid w:val="005D5C5C"/>
    <w:rsid w:val="005E0114"/>
    <w:rsid w:val="005E0734"/>
    <w:rsid w:val="005E5B30"/>
    <w:rsid w:val="005E7B9F"/>
    <w:rsid w:val="005F18E9"/>
    <w:rsid w:val="005F5D74"/>
    <w:rsid w:val="005F67EE"/>
    <w:rsid w:val="005F7484"/>
    <w:rsid w:val="00601C07"/>
    <w:rsid w:val="00601D53"/>
    <w:rsid w:val="00601DD9"/>
    <w:rsid w:val="006027BA"/>
    <w:rsid w:val="006034C9"/>
    <w:rsid w:val="00605918"/>
    <w:rsid w:val="006071BD"/>
    <w:rsid w:val="00607B33"/>
    <w:rsid w:val="00610A6E"/>
    <w:rsid w:val="00614805"/>
    <w:rsid w:val="00615AE2"/>
    <w:rsid w:val="00622E59"/>
    <w:rsid w:val="00625B49"/>
    <w:rsid w:val="00625D2C"/>
    <w:rsid w:val="00625EC1"/>
    <w:rsid w:val="00626DBF"/>
    <w:rsid w:val="0062702E"/>
    <w:rsid w:val="006271DC"/>
    <w:rsid w:val="00632644"/>
    <w:rsid w:val="0063264B"/>
    <w:rsid w:val="00635B54"/>
    <w:rsid w:val="00640AC2"/>
    <w:rsid w:val="006414A1"/>
    <w:rsid w:val="00642A28"/>
    <w:rsid w:val="00644C0F"/>
    <w:rsid w:val="00647F4C"/>
    <w:rsid w:val="00650555"/>
    <w:rsid w:val="006508D0"/>
    <w:rsid w:val="00651FA8"/>
    <w:rsid w:val="006525A6"/>
    <w:rsid w:val="00653620"/>
    <w:rsid w:val="00657D6C"/>
    <w:rsid w:val="0066304B"/>
    <w:rsid w:val="006748D5"/>
    <w:rsid w:val="00676F11"/>
    <w:rsid w:val="006807BD"/>
    <w:rsid w:val="006829BB"/>
    <w:rsid w:val="00685118"/>
    <w:rsid w:val="0068636C"/>
    <w:rsid w:val="006863EA"/>
    <w:rsid w:val="006872A9"/>
    <w:rsid w:val="00691EC4"/>
    <w:rsid w:val="006955FC"/>
    <w:rsid w:val="00696792"/>
    <w:rsid w:val="00696ED6"/>
    <w:rsid w:val="006A2346"/>
    <w:rsid w:val="006A4775"/>
    <w:rsid w:val="006A5848"/>
    <w:rsid w:val="006A7198"/>
    <w:rsid w:val="006B1FB1"/>
    <w:rsid w:val="006B2F36"/>
    <w:rsid w:val="006B364A"/>
    <w:rsid w:val="006B4F44"/>
    <w:rsid w:val="006B6091"/>
    <w:rsid w:val="006B6B70"/>
    <w:rsid w:val="006B7765"/>
    <w:rsid w:val="006C2060"/>
    <w:rsid w:val="006C7B1C"/>
    <w:rsid w:val="006D0612"/>
    <w:rsid w:val="006D2ABB"/>
    <w:rsid w:val="006D3800"/>
    <w:rsid w:val="006D3DFC"/>
    <w:rsid w:val="006D3E6B"/>
    <w:rsid w:val="006D4CD9"/>
    <w:rsid w:val="006D5769"/>
    <w:rsid w:val="006D64AD"/>
    <w:rsid w:val="006E0BC3"/>
    <w:rsid w:val="006E121B"/>
    <w:rsid w:val="006E27BE"/>
    <w:rsid w:val="006E4344"/>
    <w:rsid w:val="006E448E"/>
    <w:rsid w:val="006E59B1"/>
    <w:rsid w:val="006E5F68"/>
    <w:rsid w:val="006F3BC6"/>
    <w:rsid w:val="006F6D8C"/>
    <w:rsid w:val="00700AEC"/>
    <w:rsid w:val="007035D8"/>
    <w:rsid w:val="007040B8"/>
    <w:rsid w:val="00707A57"/>
    <w:rsid w:val="007145BE"/>
    <w:rsid w:val="007169A4"/>
    <w:rsid w:val="00717AFC"/>
    <w:rsid w:val="00720409"/>
    <w:rsid w:val="007214B2"/>
    <w:rsid w:val="00721A4E"/>
    <w:rsid w:val="007231F3"/>
    <w:rsid w:val="00723B95"/>
    <w:rsid w:val="00723C8A"/>
    <w:rsid w:val="00724AE0"/>
    <w:rsid w:val="00726644"/>
    <w:rsid w:val="00726C8A"/>
    <w:rsid w:val="007272FD"/>
    <w:rsid w:val="0072782B"/>
    <w:rsid w:val="00732317"/>
    <w:rsid w:val="007336C5"/>
    <w:rsid w:val="00735BF9"/>
    <w:rsid w:val="00740007"/>
    <w:rsid w:val="0074010D"/>
    <w:rsid w:val="00741651"/>
    <w:rsid w:val="00742621"/>
    <w:rsid w:val="00743FF1"/>
    <w:rsid w:val="00744FCC"/>
    <w:rsid w:val="00745F37"/>
    <w:rsid w:val="007550BF"/>
    <w:rsid w:val="0075783A"/>
    <w:rsid w:val="00763905"/>
    <w:rsid w:val="0076405B"/>
    <w:rsid w:val="00765E20"/>
    <w:rsid w:val="00765F73"/>
    <w:rsid w:val="00770BCC"/>
    <w:rsid w:val="00780440"/>
    <w:rsid w:val="00781841"/>
    <w:rsid w:val="00785973"/>
    <w:rsid w:val="00791D2F"/>
    <w:rsid w:val="00792904"/>
    <w:rsid w:val="00792A34"/>
    <w:rsid w:val="00793B54"/>
    <w:rsid w:val="00797FB2"/>
    <w:rsid w:val="007A2267"/>
    <w:rsid w:val="007A22AA"/>
    <w:rsid w:val="007A3861"/>
    <w:rsid w:val="007A416A"/>
    <w:rsid w:val="007A47A8"/>
    <w:rsid w:val="007A4D3C"/>
    <w:rsid w:val="007A745E"/>
    <w:rsid w:val="007A7475"/>
    <w:rsid w:val="007A7DFC"/>
    <w:rsid w:val="007B2791"/>
    <w:rsid w:val="007B4DC6"/>
    <w:rsid w:val="007B63E4"/>
    <w:rsid w:val="007B7B7B"/>
    <w:rsid w:val="007C028B"/>
    <w:rsid w:val="007C0CED"/>
    <w:rsid w:val="007C13D7"/>
    <w:rsid w:val="007C17C5"/>
    <w:rsid w:val="007C1900"/>
    <w:rsid w:val="007C3157"/>
    <w:rsid w:val="007D2591"/>
    <w:rsid w:val="007D2B95"/>
    <w:rsid w:val="007D3FF6"/>
    <w:rsid w:val="007D409C"/>
    <w:rsid w:val="007D571C"/>
    <w:rsid w:val="007D6A72"/>
    <w:rsid w:val="007D6CB0"/>
    <w:rsid w:val="007D6CBC"/>
    <w:rsid w:val="007E3891"/>
    <w:rsid w:val="007E3B1D"/>
    <w:rsid w:val="007E3D69"/>
    <w:rsid w:val="007E4051"/>
    <w:rsid w:val="007E4E55"/>
    <w:rsid w:val="007E5FFF"/>
    <w:rsid w:val="007F0C82"/>
    <w:rsid w:val="007F1B72"/>
    <w:rsid w:val="007F3554"/>
    <w:rsid w:val="007F3AF4"/>
    <w:rsid w:val="007F7167"/>
    <w:rsid w:val="00803570"/>
    <w:rsid w:val="00811DF8"/>
    <w:rsid w:val="00812CBE"/>
    <w:rsid w:val="00814761"/>
    <w:rsid w:val="0081747A"/>
    <w:rsid w:val="008175F0"/>
    <w:rsid w:val="0082456F"/>
    <w:rsid w:val="00830EC9"/>
    <w:rsid w:val="00831398"/>
    <w:rsid w:val="00836C06"/>
    <w:rsid w:val="00837B4F"/>
    <w:rsid w:val="00837CDB"/>
    <w:rsid w:val="008421D6"/>
    <w:rsid w:val="00842733"/>
    <w:rsid w:val="008433DA"/>
    <w:rsid w:val="00845CFC"/>
    <w:rsid w:val="00847414"/>
    <w:rsid w:val="0085169E"/>
    <w:rsid w:val="00852739"/>
    <w:rsid w:val="00852E76"/>
    <w:rsid w:val="0085354A"/>
    <w:rsid w:val="0085485E"/>
    <w:rsid w:val="008579DD"/>
    <w:rsid w:val="00862CD5"/>
    <w:rsid w:val="008655AA"/>
    <w:rsid w:val="008663AE"/>
    <w:rsid w:val="00866A34"/>
    <w:rsid w:val="008707FE"/>
    <w:rsid w:val="00874DA4"/>
    <w:rsid w:val="00881E29"/>
    <w:rsid w:val="00883612"/>
    <w:rsid w:val="00883B11"/>
    <w:rsid w:val="00885103"/>
    <w:rsid w:val="00886A58"/>
    <w:rsid w:val="00887DAC"/>
    <w:rsid w:val="0089160C"/>
    <w:rsid w:val="00892203"/>
    <w:rsid w:val="00894158"/>
    <w:rsid w:val="0089484A"/>
    <w:rsid w:val="00895164"/>
    <w:rsid w:val="00897EDF"/>
    <w:rsid w:val="008A1436"/>
    <w:rsid w:val="008A2A62"/>
    <w:rsid w:val="008A6104"/>
    <w:rsid w:val="008A6E3F"/>
    <w:rsid w:val="008A7745"/>
    <w:rsid w:val="008A7BDD"/>
    <w:rsid w:val="008B0831"/>
    <w:rsid w:val="008B0CEA"/>
    <w:rsid w:val="008B119C"/>
    <w:rsid w:val="008B1970"/>
    <w:rsid w:val="008B1B41"/>
    <w:rsid w:val="008C299A"/>
    <w:rsid w:val="008C39F0"/>
    <w:rsid w:val="008C4E47"/>
    <w:rsid w:val="008C5B28"/>
    <w:rsid w:val="008C5C15"/>
    <w:rsid w:val="008D0968"/>
    <w:rsid w:val="008D3C67"/>
    <w:rsid w:val="008D4393"/>
    <w:rsid w:val="008D5127"/>
    <w:rsid w:val="008D63D9"/>
    <w:rsid w:val="008E1E3B"/>
    <w:rsid w:val="008E25F1"/>
    <w:rsid w:val="008E28A6"/>
    <w:rsid w:val="008E2B05"/>
    <w:rsid w:val="008E2C10"/>
    <w:rsid w:val="008E2C4A"/>
    <w:rsid w:val="008E7056"/>
    <w:rsid w:val="008E7217"/>
    <w:rsid w:val="008E78A0"/>
    <w:rsid w:val="008F06D3"/>
    <w:rsid w:val="008F1C81"/>
    <w:rsid w:val="008F232B"/>
    <w:rsid w:val="008F416D"/>
    <w:rsid w:val="008F5F45"/>
    <w:rsid w:val="008F61E1"/>
    <w:rsid w:val="008F6309"/>
    <w:rsid w:val="008F7B0A"/>
    <w:rsid w:val="00903F66"/>
    <w:rsid w:val="0090560C"/>
    <w:rsid w:val="0090695F"/>
    <w:rsid w:val="00906D63"/>
    <w:rsid w:val="00912490"/>
    <w:rsid w:val="00913992"/>
    <w:rsid w:val="00914733"/>
    <w:rsid w:val="0091546A"/>
    <w:rsid w:val="009201DD"/>
    <w:rsid w:val="00920711"/>
    <w:rsid w:val="00922096"/>
    <w:rsid w:val="00922390"/>
    <w:rsid w:val="009234C0"/>
    <w:rsid w:val="0092381E"/>
    <w:rsid w:val="00923DC7"/>
    <w:rsid w:val="0092549E"/>
    <w:rsid w:val="00930E4B"/>
    <w:rsid w:val="00930F48"/>
    <w:rsid w:val="00933E27"/>
    <w:rsid w:val="00934543"/>
    <w:rsid w:val="009359FD"/>
    <w:rsid w:val="00941EF9"/>
    <w:rsid w:val="009421CB"/>
    <w:rsid w:val="0094233F"/>
    <w:rsid w:val="00942528"/>
    <w:rsid w:val="009444AE"/>
    <w:rsid w:val="0095021D"/>
    <w:rsid w:val="00950469"/>
    <w:rsid w:val="00950AF8"/>
    <w:rsid w:val="00952A08"/>
    <w:rsid w:val="009560B4"/>
    <w:rsid w:val="009573B9"/>
    <w:rsid w:val="00960988"/>
    <w:rsid w:val="00960F49"/>
    <w:rsid w:val="009625B1"/>
    <w:rsid w:val="009633E2"/>
    <w:rsid w:val="00964870"/>
    <w:rsid w:val="00966145"/>
    <w:rsid w:val="00966A78"/>
    <w:rsid w:val="009671AA"/>
    <w:rsid w:val="00975718"/>
    <w:rsid w:val="009759D4"/>
    <w:rsid w:val="00975BAE"/>
    <w:rsid w:val="009763C9"/>
    <w:rsid w:val="00980D6E"/>
    <w:rsid w:val="00982032"/>
    <w:rsid w:val="0098560E"/>
    <w:rsid w:val="00986971"/>
    <w:rsid w:val="00990005"/>
    <w:rsid w:val="00990D63"/>
    <w:rsid w:val="00993085"/>
    <w:rsid w:val="00993D29"/>
    <w:rsid w:val="009943B2"/>
    <w:rsid w:val="00994733"/>
    <w:rsid w:val="00994739"/>
    <w:rsid w:val="00994847"/>
    <w:rsid w:val="00996F33"/>
    <w:rsid w:val="009A06AE"/>
    <w:rsid w:val="009A25C5"/>
    <w:rsid w:val="009A2BDA"/>
    <w:rsid w:val="009A2F14"/>
    <w:rsid w:val="009A3304"/>
    <w:rsid w:val="009A46DE"/>
    <w:rsid w:val="009B2625"/>
    <w:rsid w:val="009B65FD"/>
    <w:rsid w:val="009C0107"/>
    <w:rsid w:val="009C1031"/>
    <w:rsid w:val="009C20EE"/>
    <w:rsid w:val="009C2184"/>
    <w:rsid w:val="009C2A02"/>
    <w:rsid w:val="009C4056"/>
    <w:rsid w:val="009C4611"/>
    <w:rsid w:val="009C4F07"/>
    <w:rsid w:val="009C5584"/>
    <w:rsid w:val="009C6ABB"/>
    <w:rsid w:val="009D31D2"/>
    <w:rsid w:val="009D4970"/>
    <w:rsid w:val="009D59C9"/>
    <w:rsid w:val="009D681F"/>
    <w:rsid w:val="009D7A7D"/>
    <w:rsid w:val="009E080E"/>
    <w:rsid w:val="009E1D90"/>
    <w:rsid w:val="009E1FAA"/>
    <w:rsid w:val="009E2B2E"/>
    <w:rsid w:val="009E37BA"/>
    <w:rsid w:val="009E56EF"/>
    <w:rsid w:val="009E6887"/>
    <w:rsid w:val="009F0E93"/>
    <w:rsid w:val="009F2539"/>
    <w:rsid w:val="009F3353"/>
    <w:rsid w:val="009F3383"/>
    <w:rsid w:val="009F41E1"/>
    <w:rsid w:val="009F69CD"/>
    <w:rsid w:val="00A02A1D"/>
    <w:rsid w:val="00A02B9C"/>
    <w:rsid w:val="00A1055C"/>
    <w:rsid w:val="00A11EEF"/>
    <w:rsid w:val="00A14163"/>
    <w:rsid w:val="00A15AF0"/>
    <w:rsid w:val="00A178F7"/>
    <w:rsid w:val="00A21FA0"/>
    <w:rsid w:val="00A233FF"/>
    <w:rsid w:val="00A27322"/>
    <w:rsid w:val="00A27529"/>
    <w:rsid w:val="00A30013"/>
    <w:rsid w:val="00A31ACC"/>
    <w:rsid w:val="00A359E5"/>
    <w:rsid w:val="00A359F0"/>
    <w:rsid w:val="00A36CA4"/>
    <w:rsid w:val="00A4058F"/>
    <w:rsid w:val="00A44111"/>
    <w:rsid w:val="00A4599A"/>
    <w:rsid w:val="00A47B94"/>
    <w:rsid w:val="00A5212B"/>
    <w:rsid w:val="00A52218"/>
    <w:rsid w:val="00A52AE7"/>
    <w:rsid w:val="00A52F4C"/>
    <w:rsid w:val="00A52FBE"/>
    <w:rsid w:val="00A53F48"/>
    <w:rsid w:val="00A54571"/>
    <w:rsid w:val="00A62B2B"/>
    <w:rsid w:val="00A659E5"/>
    <w:rsid w:val="00A665B5"/>
    <w:rsid w:val="00A673A7"/>
    <w:rsid w:val="00A67AA2"/>
    <w:rsid w:val="00A7112F"/>
    <w:rsid w:val="00A721F4"/>
    <w:rsid w:val="00A75678"/>
    <w:rsid w:val="00A779B8"/>
    <w:rsid w:val="00A77D1E"/>
    <w:rsid w:val="00A813B5"/>
    <w:rsid w:val="00A81684"/>
    <w:rsid w:val="00A826A0"/>
    <w:rsid w:val="00A868EC"/>
    <w:rsid w:val="00A90DE7"/>
    <w:rsid w:val="00A91463"/>
    <w:rsid w:val="00A94011"/>
    <w:rsid w:val="00A94CB3"/>
    <w:rsid w:val="00A9688B"/>
    <w:rsid w:val="00AA0CF3"/>
    <w:rsid w:val="00AA327D"/>
    <w:rsid w:val="00AA3963"/>
    <w:rsid w:val="00AA426B"/>
    <w:rsid w:val="00AA6724"/>
    <w:rsid w:val="00AA7E93"/>
    <w:rsid w:val="00AB0B39"/>
    <w:rsid w:val="00AB172E"/>
    <w:rsid w:val="00AB3509"/>
    <w:rsid w:val="00AB42B4"/>
    <w:rsid w:val="00AB4985"/>
    <w:rsid w:val="00AB5413"/>
    <w:rsid w:val="00AB597F"/>
    <w:rsid w:val="00AC013A"/>
    <w:rsid w:val="00AC25F1"/>
    <w:rsid w:val="00AC5C14"/>
    <w:rsid w:val="00AC6868"/>
    <w:rsid w:val="00AC74F8"/>
    <w:rsid w:val="00AD06D5"/>
    <w:rsid w:val="00AD1CB1"/>
    <w:rsid w:val="00AE0B02"/>
    <w:rsid w:val="00AE1CD7"/>
    <w:rsid w:val="00AE2279"/>
    <w:rsid w:val="00AE279A"/>
    <w:rsid w:val="00AE2D4F"/>
    <w:rsid w:val="00AE3DAD"/>
    <w:rsid w:val="00AE561B"/>
    <w:rsid w:val="00AE6E38"/>
    <w:rsid w:val="00AE76AB"/>
    <w:rsid w:val="00AF066D"/>
    <w:rsid w:val="00AF27E4"/>
    <w:rsid w:val="00AF2A62"/>
    <w:rsid w:val="00AF491C"/>
    <w:rsid w:val="00AF5935"/>
    <w:rsid w:val="00AF639B"/>
    <w:rsid w:val="00B068AC"/>
    <w:rsid w:val="00B06F8E"/>
    <w:rsid w:val="00B1360B"/>
    <w:rsid w:val="00B14F2D"/>
    <w:rsid w:val="00B15711"/>
    <w:rsid w:val="00B21395"/>
    <w:rsid w:val="00B22280"/>
    <w:rsid w:val="00B226EB"/>
    <w:rsid w:val="00B22FD7"/>
    <w:rsid w:val="00B23D25"/>
    <w:rsid w:val="00B24B6C"/>
    <w:rsid w:val="00B258AD"/>
    <w:rsid w:val="00B3005B"/>
    <w:rsid w:val="00B30738"/>
    <w:rsid w:val="00B32C8B"/>
    <w:rsid w:val="00B32DAE"/>
    <w:rsid w:val="00B33E97"/>
    <w:rsid w:val="00B34D7D"/>
    <w:rsid w:val="00B35D6E"/>
    <w:rsid w:val="00B36820"/>
    <w:rsid w:val="00B36A02"/>
    <w:rsid w:val="00B37255"/>
    <w:rsid w:val="00B37A4D"/>
    <w:rsid w:val="00B40075"/>
    <w:rsid w:val="00B416A8"/>
    <w:rsid w:val="00B429A1"/>
    <w:rsid w:val="00B43896"/>
    <w:rsid w:val="00B459EF"/>
    <w:rsid w:val="00B45B86"/>
    <w:rsid w:val="00B45F0F"/>
    <w:rsid w:val="00B46ED1"/>
    <w:rsid w:val="00B47403"/>
    <w:rsid w:val="00B47A3A"/>
    <w:rsid w:val="00B47CA9"/>
    <w:rsid w:val="00B522EA"/>
    <w:rsid w:val="00B56132"/>
    <w:rsid w:val="00B61C98"/>
    <w:rsid w:val="00B64292"/>
    <w:rsid w:val="00B71FE6"/>
    <w:rsid w:val="00B759F7"/>
    <w:rsid w:val="00B77211"/>
    <w:rsid w:val="00B8473F"/>
    <w:rsid w:val="00B85869"/>
    <w:rsid w:val="00B8663C"/>
    <w:rsid w:val="00B87282"/>
    <w:rsid w:val="00B87CF0"/>
    <w:rsid w:val="00B90F48"/>
    <w:rsid w:val="00B92425"/>
    <w:rsid w:val="00B93BFB"/>
    <w:rsid w:val="00BA0BE9"/>
    <w:rsid w:val="00BA144E"/>
    <w:rsid w:val="00BA1BE2"/>
    <w:rsid w:val="00BA3289"/>
    <w:rsid w:val="00BA3F7D"/>
    <w:rsid w:val="00BA6A47"/>
    <w:rsid w:val="00BB0766"/>
    <w:rsid w:val="00BB1738"/>
    <w:rsid w:val="00BB4838"/>
    <w:rsid w:val="00BB5689"/>
    <w:rsid w:val="00BB6C1F"/>
    <w:rsid w:val="00BC090F"/>
    <w:rsid w:val="00BC1554"/>
    <w:rsid w:val="00BC164A"/>
    <w:rsid w:val="00BC1BED"/>
    <w:rsid w:val="00BC214C"/>
    <w:rsid w:val="00BC3E25"/>
    <w:rsid w:val="00BC43A4"/>
    <w:rsid w:val="00BC512D"/>
    <w:rsid w:val="00BC681C"/>
    <w:rsid w:val="00BC6D73"/>
    <w:rsid w:val="00BC7357"/>
    <w:rsid w:val="00BD0462"/>
    <w:rsid w:val="00BD059A"/>
    <w:rsid w:val="00BD3A1E"/>
    <w:rsid w:val="00BD3F7E"/>
    <w:rsid w:val="00BD5E05"/>
    <w:rsid w:val="00BD6677"/>
    <w:rsid w:val="00BD748A"/>
    <w:rsid w:val="00BD7771"/>
    <w:rsid w:val="00BE0012"/>
    <w:rsid w:val="00BE0494"/>
    <w:rsid w:val="00BE15B1"/>
    <w:rsid w:val="00BE1E6A"/>
    <w:rsid w:val="00BE2ABC"/>
    <w:rsid w:val="00BE2EC8"/>
    <w:rsid w:val="00BE3752"/>
    <w:rsid w:val="00BE4704"/>
    <w:rsid w:val="00BE483D"/>
    <w:rsid w:val="00BE7684"/>
    <w:rsid w:val="00BF2EBC"/>
    <w:rsid w:val="00BF344D"/>
    <w:rsid w:val="00BF5190"/>
    <w:rsid w:val="00C01B1F"/>
    <w:rsid w:val="00C0249C"/>
    <w:rsid w:val="00C02DC6"/>
    <w:rsid w:val="00C05101"/>
    <w:rsid w:val="00C07562"/>
    <w:rsid w:val="00C114E8"/>
    <w:rsid w:val="00C13576"/>
    <w:rsid w:val="00C13AAC"/>
    <w:rsid w:val="00C14A55"/>
    <w:rsid w:val="00C155B3"/>
    <w:rsid w:val="00C158BC"/>
    <w:rsid w:val="00C170C2"/>
    <w:rsid w:val="00C1721D"/>
    <w:rsid w:val="00C2054A"/>
    <w:rsid w:val="00C21064"/>
    <w:rsid w:val="00C21941"/>
    <w:rsid w:val="00C24A82"/>
    <w:rsid w:val="00C25DAA"/>
    <w:rsid w:val="00C279BA"/>
    <w:rsid w:val="00C31D2D"/>
    <w:rsid w:val="00C34002"/>
    <w:rsid w:val="00C360CB"/>
    <w:rsid w:val="00C37F17"/>
    <w:rsid w:val="00C401BA"/>
    <w:rsid w:val="00C4065F"/>
    <w:rsid w:val="00C430B2"/>
    <w:rsid w:val="00C44615"/>
    <w:rsid w:val="00C4475B"/>
    <w:rsid w:val="00C44E03"/>
    <w:rsid w:val="00C4573A"/>
    <w:rsid w:val="00C46041"/>
    <w:rsid w:val="00C508AD"/>
    <w:rsid w:val="00C51D18"/>
    <w:rsid w:val="00C526C9"/>
    <w:rsid w:val="00C539EA"/>
    <w:rsid w:val="00C54470"/>
    <w:rsid w:val="00C54836"/>
    <w:rsid w:val="00C57373"/>
    <w:rsid w:val="00C61C85"/>
    <w:rsid w:val="00C649E3"/>
    <w:rsid w:val="00C64A9B"/>
    <w:rsid w:val="00C661ED"/>
    <w:rsid w:val="00C67694"/>
    <w:rsid w:val="00C7081D"/>
    <w:rsid w:val="00C71580"/>
    <w:rsid w:val="00C71924"/>
    <w:rsid w:val="00C71C95"/>
    <w:rsid w:val="00C740E1"/>
    <w:rsid w:val="00C75560"/>
    <w:rsid w:val="00C77DB5"/>
    <w:rsid w:val="00C77DFB"/>
    <w:rsid w:val="00C80582"/>
    <w:rsid w:val="00C8073D"/>
    <w:rsid w:val="00C8122C"/>
    <w:rsid w:val="00C82C95"/>
    <w:rsid w:val="00C83505"/>
    <w:rsid w:val="00C83E9B"/>
    <w:rsid w:val="00C84C18"/>
    <w:rsid w:val="00C84FA3"/>
    <w:rsid w:val="00C84FC8"/>
    <w:rsid w:val="00C920DE"/>
    <w:rsid w:val="00C9424F"/>
    <w:rsid w:val="00C96950"/>
    <w:rsid w:val="00C96B40"/>
    <w:rsid w:val="00C97827"/>
    <w:rsid w:val="00CA01ED"/>
    <w:rsid w:val="00CA1CB3"/>
    <w:rsid w:val="00CA35C3"/>
    <w:rsid w:val="00CA66DA"/>
    <w:rsid w:val="00CB159C"/>
    <w:rsid w:val="00CB186D"/>
    <w:rsid w:val="00CB3F5F"/>
    <w:rsid w:val="00CB7C84"/>
    <w:rsid w:val="00CC05E5"/>
    <w:rsid w:val="00CC620A"/>
    <w:rsid w:val="00CD0426"/>
    <w:rsid w:val="00CD0E6F"/>
    <w:rsid w:val="00CD2773"/>
    <w:rsid w:val="00CD47E1"/>
    <w:rsid w:val="00CD5386"/>
    <w:rsid w:val="00CD5502"/>
    <w:rsid w:val="00CE3B9A"/>
    <w:rsid w:val="00CE3FA5"/>
    <w:rsid w:val="00CE76BE"/>
    <w:rsid w:val="00CF1CAF"/>
    <w:rsid w:val="00CF26B1"/>
    <w:rsid w:val="00CF2C93"/>
    <w:rsid w:val="00CF2F9C"/>
    <w:rsid w:val="00CF35C9"/>
    <w:rsid w:val="00CF4345"/>
    <w:rsid w:val="00D0045D"/>
    <w:rsid w:val="00D01FB4"/>
    <w:rsid w:val="00D02A44"/>
    <w:rsid w:val="00D03256"/>
    <w:rsid w:val="00D04C86"/>
    <w:rsid w:val="00D06012"/>
    <w:rsid w:val="00D106B9"/>
    <w:rsid w:val="00D13DC1"/>
    <w:rsid w:val="00D15A8F"/>
    <w:rsid w:val="00D16EBB"/>
    <w:rsid w:val="00D213B0"/>
    <w:rsid w:val="00D22E63"/>
    <w:rsid w:val="00D23AC5"/>
    <w:rsid w:val="00D241E9"/>
    <w:rsid w:val="00D2553C"/>
    <w:rsid w:val="00D2729E"/>
    <w:rsid w:val="00D27D0C"/>
    <w:rsid w:val="00D3494C"/>
    <w:rsid w:val="00D35344"/>
    <w:rsid w:val="00D3603C"/>
    <w:rsid w:val="00D41061"/>
    <w:rsid w:val="00D4207E"/>
    <w:rsid w:val="00D43F30"/>
    <w:rsid w:val="00D4560C"/>
    <w:rsid w:val="00D465D8"/>
    <w:rsid w:val="00D468DA"/>
    <w:rsid w:val="00D518BE"/>
    <w:rsid w:val="00D5275D"/>
    <w:rsid w:val="00D532DE"/>
    <w:rsid w:val="00D54B2E"/>
    <w:rsid w:val="00D54B39"/>
    <w:rsid w:val="00D55F41"/>
    <w:rsid w:val="00D57421"/>
    <w:rsid w:val="00D60D4C"/>
    <w:rsid w:val="00D64CD3"/>
    <w:rsid w:val="00D65166"/>
    <w:rsid w:val="00D65B2D"/>
    <w:rsid w:val="00D6600B"/>
    <w:rsid w:val="00D673C8"/>
    <w:rsid w:val="00D70C80"/>
    <w:rsid w:val="00D71C08"/>
    <w:rsid w:val="00D72A60"/>
    <w:rsid w:val="00D72FF1"/>
    <w:rsid w:val="00D744C7"/>
    <w:rsid w:val="00D74F82"/>
    <w:rsid w:val="00D76AFE"/>
    <w:rsid w:val="00D8005F"/>
    <w:rsid w:val="00D81D13"/>
    <w:rsid w:val="00D84639"/>
    <w:rsid w:val="00D85461"/>
    <w:rsid w:val="00D86336"/>
    <w:rsid w:val="00D8770C"/>
    <w:rsid w:val="00D92D5E"/>
    <w:rsid w:val="00D9449C"/>
    <w:rsid w:val="00D94506"/>
    <w:rsid w:val="00D950A7"/>
    <w:rsid w:val="00D9528C"/>
    <w:rsid w:val="00D97578"/>
    <w:rsid w:val="00DA126F"/>
    <w:rsid w:val="00DA35DF"/>
    <w:rsid w:val="00DA3610"/>
    <w:rsid w:val="00DA4BB2"/>
    <w:rsid w:val="00DA544B"/>
    <w:rsid w:val="00DA616A"/>
    <w:rsid w:val="00DB4FA2"/>
    <w:rsid w:val="00DB6E23"/>
    <w:rsid w:val="00DB78EB"/>
    <w:rsid w:val="00DC013F"/>
    <w:rsid w:val="00DC0606"/>
    <w:rsid w:val="00DC1800"/>
    <w:rsid w:val="00DC306A"/>
    <w:rsid w:val="00DC36E2"/>
    <w:rsid w:val="00DC4202"/>
    <w:rsid w:val="00DC43B3"/>
    <w:rsid w:val="00DC4EBE"/>
    <w:rsid w:val="00DD2FD6"/>
    <w:rsid w:val="00DD37D4"/>
    <w:rsid w:val="00DD6EFB"/>
    <w:rsid w:val="00DD7CC5"/>
    <w:rsid w:val="00DE1041"/>
    <w:rsid w:val="00DE40FE"/>
    <w:rsid w:val="00DE5B2E"/>
    <w:rsid w:val="00DE69B0"/>
    <w:rsid w:val="00DE748C"/>
    <w:rsid w:val="00DE76BA"/>
    <w:rsid w:val="00DF0046"/>
    <w:rsid w:val="00DF0891"/>
    <w:rsid w:val="00DF0D4C"/>
    <w:rsid w:val="00DF15ED"/>
    <w:rsid w:val="00DF1841"/>
    <w:rsid w:val="00DF1C0D"/>
    <w:rsid w:val="00DF2A43"/>
    <w:rsid w:val="00DF3C10"/>
    <w:rsid w:val="00DF4FB7"/>
    <w:rsid w:val="00DF5D81"/>
    <w:rsid w:val="00DF5F0D"/>
    <w:rsid w:val="00DF6DED"/>
    <w:rsid w:val="00DF7A87"/>
    <w:rsid w:val="00E00100"/>
    <w:rsid w:val="00E015F4"/>
    <w:rsid w:val="00E02C4A"/>
    <w:rsid w:val="00E056B7"/>
    <w:rsid w:val="00E0702A"/>
    <w:rsid w:val="00E101C4"/>
    <w:rsid w:val="00E13149"/>
    <w:rsid w:val="00E14AFC"/>
    <w:rsid w:val="00E15449"/>
    <w:rsid w:val="00E15C82"/>
    <w:rsid w:val="00E16D7D"/>
    <w:rsid w:val="00E200E3"/>
    <w:rsid w:val="00E202D9"/>
    <w:rsid w:val="00E2035E"/>
    <w:rsid w:val="00E20D11"/>
    <w:rsid w:val="00E21BC1"/>
    <w:rsid w:val="00E23F06"/>
    <w:rsid w:val="00E25AFC"/>
    <w:rsid w:val="00E25B8E"/>
    <w:rsid w:val="00E27892"/>
    <w:rsid w:val="00E308F0"/>
    <w:rsid w:val="00E3639F"/>
    <w:rsid w:val="00E36EA0"/>
    <w:rsid w:val="00E379D9"/>
    <w:rsid w:val="00E44681"/>
    <w:rsid w:val="00E45EF1"/>
    <w:rsid w:val="00E5249D"/>
    <w:rsid w:val="00E527F4"/>
    <w:rsid w:val="00E52EBC"/>
    <w:rsid w:val="00E5447E"/>
    <w:rsid w:val="00E560D0"/>
    <w:rsid w:val="00E56E7C"/>
    <w:rsid w:val="00E62126"/>
    <w:rsid w:val="00E623E1"/>
    <w:rsid w:val="00E646D6"/>
    <w:rsid w:val="00E64E44"/>
    <w:rsid w:val="00E67181"/>
    <w:rsid w:val="00E81F14"/>
    <w:rsid w:val="00E83D7E"/>
    <w:rsid w:val="00E845DF"/>
    <w:rsid w:val="00E84642"/>
    <w:rsid w:val="00E86A0D"/>
    <w:rsid w:val="00E8723B"/>
    <w:rsid w:val="00E91638"/>
    <w:rsid w:val="00E93799"/>
    <w:rsid w:val="00E94CF3"/>
    <w:rsid w:val="00E968E3"/>
    <w:rsid w:val="00E977CA"/>
    <w:rsid w:val="00E97AEA"/>
    <w:rsid w:val="00E97E8D"/>
    <w:rsid w:val="00EA10EA"/>
    <w:rsid w:val="00EA193D"/>
    <w:rsid w:val="00EA20B7"/>
    <w:rsid w:val="00EA2987"/>
    <w:rsid w:val="00EA3355"/>
    <w:rsid w:val="00EA4FFF"/>
    <w:rsid w:val="00EA7FCF"/>
    <w:rsid w:val="00EB149A"/>
    <w:rsid w:val="00EB1510"/>
    <w:rsid w:val="00EB2C20"/>
    <w:rsid w:val="00EB3FA3"/>
    <w:rsid w:val="00EB4675"/>
    <w:rsid w:val="00EB4E73"/>
    <w:rsid w:val="00EB5996"/>
    <w:rsid w:val="00EB7EB4"/>
    <w:rsid w:val="00EC071E"/>
    <w:rsid w:val="00EC193C"/>
    <w:rsid w:val="00EC1BBD"/>
    <w:rsid w:val="00EC2F5C"/>
    <w:rsid w:val="00EC58C8"/>
    <w:rsid w:val="00ED25E9"/>
    <w:rsid w:val="00ED2907"/>
    <w:rsid w:val="00ED2AE7"/>
    <w:rsid w:val="00ED4A32"/>
    <w:rsid w:val="00ED4FA1"/>
    <w:rsid w:val="00EE1261"/>
    <w:rsid w:val="00EE2662"/>
    <w:rsid w:val="00EE39E3"/>
    <w:rsid w:val="00EE48BC"/>
    <w:rsid w:val="00EE4B2A"/>
    <w:rsid w:val="00EE4D45"/>
    <w:rsid w:val="00EE5BD1"/>
    <w:rsid w:val="00EE6B85"/>
    <w:rsid w:val="00EE6EE1"/>
    <w:rsid w:val="00EF009E"/>
    <w:rsid w:val="00EF013D"/>
    <w:rsid w:val="00EF58B6"/>
    <w:rsid w:val="00EF5992"/>
    <w:rsid w:val="00EF6EEA"/>
    <w:rsid w:val="00EF7D05"/>
    <w:rsid w:val="00F00706"/>
    <w:rsid w:val="00F02F40"/>
    <w:rsid w:val="00F04556"/>
    <w:rsid w:val="00F0485D"/>
    <w:rsid w:val="00F05024"/>
    <w:rsid w:val="00F069B4"/>
    <w:rsid w:val="00F076F2"/>
    <w:rsid w:val="00F104E9"/>
    <w:rsid w:val="00F11A08"/>
    <w:rsid w:val="00F14946"/>
    <w:rsid w:val="00F15E7D"/>
    <w:rsid w:val="00F2078F"/>
    <w:rsid w:val="00F20E89"/>
    <w:rsid w:val="00F21855"/>
    <w:rsid w:val="00F23FF3"/>
    <w:rsid w:val="00F24136"/>
    <w:rsid w:val="00F24DB4"/>
    <w:rsid w:val="00F25891"/>
    <w:rsid w:val="00F26728"/>
    <w:rsid w:val="00F2723E"/>
    <w:rsid w:val="00F31F79"/>
    <w:rsid w:val="00F33914"/>
    <w:rsid w:val="00F35E18"/>
    <w:rsid w:val="00F35F5E"/>
    <w:rsid w:val="00F36BC3"/>
    <w:rsid w:val="00F43580"/>
    <w:rsid w:val="00F460A5"/>
    <w:rsid w:val="00F46B88"/>
    <w:rsid w:val="00F476BF"/>
    <w:rsid w:val="00F51500"/>
    <w:rsid w:val="00F52C8C"/>
    <w:rsid w:val="00F53443"/>
    <w:rsid w:val="00F54AA5"/>
    <w:rsid w:val="00F54BE7"/>
    <w:rsid w:val="00F5645C"/>
    <w:rsid w:val="00F57356"/>
    <w:rsid w:val="00F61563"/>
    <w:rsid w:val="00F61F68"/>
    <w:rsid w:val="00F61F7E"/>
    <w:rsid w:val="00F622DE"/>
    <w:rsid w:val="00F631CF"/>
    <w:rsid w:val="00F63B41"/>
    <w:rsid w:val="00F64915"/>
    <w:rsid w:val="00F64F95"/>
    <w:rsid w:val="00F654CD"/>
    <w:rsid w:val="00F66991"/>
    <w:rsid w:val="00F76649"/>
    <w:rsid w:val="00F77139"/>
    <w:rsid w:val="00F8135C"/>
    <w:rsid w:val="00F83383"/>
    <w:rsid w:val="00F8347C"/>
    <w:rsid w:val="00F86464"/>
    <w:rsid w:val="00F906C6"/>
    <w:rsid w:val="00F90CBD"/>
    <w:rsid w:val="00F93ED5"/>
    <w:rsid w:val="00F9631E"/>
    <w:rsid w:val="00FA1E5B"/>
    <w:rsid w:val="00FA2BC6"/>
    <w:rsid w:val="00FA2F2B"/>
    <w:rsid w:val="00FA3C80"/>
    <w:rsid w:val="00FA66C8"/>
    <w:rsid w:val="00FA7587"/>
    <w:rsid w:val="00FB1B88"/>
    <w:rsid w:val="00FB44D7"/>
    <w:rsid w:val="00FB4529"/>
    <w:rsid w:val="00FB561F"/>
    <w:rsid w:val="00FB5C45"/>
    <w:rsid w:val="00FB610E"/>
    <w:rsid w:val="00FB6E57"/>
    <w:rsid w:val="00FB73A2"/>
    <w:rsid w:val="00FC0E6F"/>
    <w:rsid w:val="00FC4C12"/>
    <w:rsid w:val="00FC50E2"/>
    <w:rsid w:val="00FC5498"/>
    <w:rsid w:val="00FC569F"/>
    <w:rsid w:val="00FC5FAD"/>
    <w:rsid w:val="00FC7367"/>
    <w:rsid w:val="00FD1D13"/>
    <w:rsid w:val="00FD2256"/>
    <w:rsid w:val="00FD6301"/>
    <w:rsid w:val="00FE1617"/>
    <w:rsid w:val="00FE2214"/>
    <w:rsid w:val="00FE285F"/>
    <w:rsid w:val="00FE29E7"/>
    <w:rsid w:val="00FE3CAC"/>
    <w:rsid w:val="00FE3F23"/>
    <w:rsid w:val="00FE4D11"/>
    <w:rsid w:val="00FE6549"/>
    <w:rsid w:val="00FE6923"/>
    <w:rsid w:val="00FF1C89"/>
    <w:rsid w:val="00FF2A4E"/>
    <w:rsid w:val="00FF3E5F"/>
    <w:rsid w:val="00FF4491"/>
    <w:rsid w:val="00FF4C79"/>
    <w:rsid w:val="00FF5E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ACC0"/>
  <w15:docId w15:val="{D75C6043-57FC-49C8-BC9D-D073A6A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spacing w:after="0" w:line="240" w:lineRule="auto"/>
      <w:jc w:val="center"/>
      <w:outlineLvl w:val="2"/>
    </w:pPr>
    <w:rPr>
      <w:rFonts w:ascii="Book Antiqua" w:eastAsia="Times New Roman" w:hAnsi="Book Antiqua" w:cs="Times New Roman"/>
      <w:b/>
      <w:bCs/>
      <w:szCs w:val="24"/>
      <w:lang w:val="es-MX" w:eastAsia="es-ES"/>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3Car">
    <w:name w:val="Título 3 Car"/>
    <w:rPr>
      <w:rFonts w:ascii="Book Antiqua" w:eastAsia="Times New Roman" w:hAnsi="Book Antiqua" w:cs="Times New Roman"/>
      <w:b/>
      <w:bCs/>
      <w:w w:val="100"/>
      <w:position w:val="-1"/>
      <w:szCs w:val="24"/>
      <w:effect w:val="none"/>
      <w:vertAlign w:val="baseline"/>
      <w:cs w:val="0"/>
      <w:em w:val="none"/>
      <w:lang w:val="es-MX" w:eastAsia="es-ES"/>
    </w:rPr>
  </w:style>
  <w:style w:type="character" w:customStyle="1" w:styleId="TextoindependienteCar">
    <w:name w:val="Texto independiente Car"/>
    <w:aliases w:val="Body Text Char Char Char Car"/>
    <w:rPr>
      <w:rFonts w:ascii="Book Antiqua" w:hAnsi="Book Antiqua"/>
      <w:w w:val="100"/>
      <w:position w:val="-1"/>
      <w:szCs w:val="24"/>
      <w:u w:val="single"/>
      <w:effect w:val="none"/>
      <w:vertAlign w:val="baseline"/>
      <w:cs w:val="0"/>
      <w:em w:val="none"/>
      <w:lang w:val="es-AR" w:eastAsia="es-ES"/>
    </w:rPr>
  </w:style>
  <w:style w:type="paragraph" w:customStyle="1" w:styleId="Textoindependiente1">
    <w:name w:val="Texto independiente1"/>
    <w:aliases w:val="Body Text Char Char Char"/>
    <w:basedOn w:val="Normal"/>
    <w:qFormat/>
    <w:pPr>
      <w:spacing w:after="0" w:line="240" w:lineRule="auto"/>
    </w:pPr>
    <w:rPr>
      <w:rFonts w:ascii="Book Antiqua" w:hAnsi="Book Antiqua"/>
      <w:szCs w:val="24"/>
      <w:u w:val="single"/>
      <w:lang w:val="es-AR" w:eastAsia="es-ES"/>
    </w:rPr>
  </w:style>
  <w:style w:type="character" w:customStyle="1" w:styleId="BodyTextChar1">
    <w:name w:val="Body Text Char1"/>
    <w:basedOn w:val="Fuentedeprrafopredeter"/>
    <w:rPr>
      <w:w w:val="100"/>
      <w:position w:val="-1"/>
      <w:effect w:val="none"/>
      <w:vertAlign w:val="baseline"/>
      <w:cs w:val="0"/>
      <w:em w:val="none"/>
    </w:rPr>
  </w:style>
  <w:style w:type="paragraph" w:styleId="Sangradetextonormal">
    <w:name w:val="Body Text Indent"/>
    <w:basedOn w:val="Normal"/>
    <w:qFormat/>
    <w:pPr>
      <w:spacing w:after="0" w:line="240" w:lineRule="auto"/>
      <w:ind w:left="4678" w:hanging="425"/>
      <w:jc w:val="both"/>
    </w:pPr>
    <w:rPr>
      <w:rFonts w:ascii="Times New Roman" w:eastAsia="Times New Roman" w:hAnsi="Times New Roman" w:cs="Times New Roman"/>
      <w:b/>
      <w:sz w:val="24"/>
      <w:szCs w:val="20"/>
      <w:lang w:val="es-AR" w:eastAsia="es-ES"/>
    </w:rPr>
  </w:style>
  <w:style w:type="character" w:customStyle="1" w:styleId="SangradetextonormalCar">
    <w:name w:val="Sangría de texto normal Car"/>
    <w:rPr>
      <w:rFonts w:ascii="Times New Roman" w:eastAsia="Times New Roman" w:hAnsi="Times New Roman" w:cs="Times New Roman"/>
      <w:b/>
      <w:w w:val="100"/>
      <w:position w:val="-1"/>
      <w:sz w:val="24"/>
      <w:szCs w:val="20"/>
      <w:effect w:val="none"/>
      <w:vertAlign w:val="baseline"/>
      <w:cs w:val="0"/>
      <w:em w:val="none"/>
      <w:lang w:val="es-AR" w:eastAsia="es-ES"/>
    </w:rPr>
  </w:style>
  <w:style w:type="paragraph" w:customStyle="1" w:styleId="BodyText21">
    <w:name w:val="Body Text 21"/>
    <w:basedOn w:val="Normal"/>
    <w:pPr>
      <w:spacing w:after="0" w:line="240" w:lineRule="auto"/>
    </w:pPr>
    <w:rPr>
      <w:rFonts w:ascii="Times New Roman" w:eastAsia="Times New Roman" w:hAnsi="Times New Roman" w:cs="Times New Roman"/>
      <w:sz w:val="24"/>
      <w:szCs w:val="20"/>
      <w:lang w:val="en-US" w:eastAsia="es-ES"/>
    </w:rPr>
  </w:style>
  <w:style w:type="paragraph" w:styleId="Prrafodelista">
    <w:name w:val="List Paragraph"/>
    <w:aliases w:val="lp"/>
    <w:basedOn w:val="Normal"/>
    <w:uiPriority w:val="34"/>
    <w:qFormat/>
    <w:pPr>
      <w:ind w:left="720"/>
      <w:contextualSpacing/>
    </w:pPr>
  </w:style>
  <w:style w:type="paragraph" w:styleId="NormalWeb">
    <w:name w:val="Normal (Web)"/>
    <w:basedOn w:val="Normal"/>
    <w:qFormat/>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AE27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79A"/>
    <w:rPr>
      <w:position w:val="-1"/>
      <w:sz w:val="20"/>
      <w:szCs w:val="20"/>
      <w:lang w:eastAsia="en-US"/>
    </w:rPr>
  </w:style>
  <w:style w:type="character" w:styleId="Refdenotaalpie">
    <w:name w:val="footnote reference"/>
    <w:basedOn w:val="Fuentedeprrafopredeter"/>
    <w:uiPriority w:val="99"/>
    <w:semiHidden/>
    <w:unhideWhenUsed/>
    <w:rsid w:val="00AE279A"/>
    <w:rPr>
      <w:vertAlign w:val="superscript"/>
    </w:rPr>
  </w:style>
  <w:style w:type="character" w:styleId="Hipervnculo">
    <w:name w:val="Hyperlink"/>
    <w:basedOn w:val="Fuentedeprrafopredeter"/>
    <w:uiPriority w:val="99"/>
    <w:unhideWhenUsed/>
    <w:rsid w:val="00EE39E3"/>
    <w:rPr>
      <w:color w:val="0000FF" w:themeColor="hyperlink"/>
      <w:u w:val="single"/>
    </w:rPr>
  </w:style>
  <w:style w:type="paragraph" w:customStyle="1" w:styleId="BHTexto">
    <w:name w:val="BH Texto"/>
    <w:basedOn w:val="Normal"/>
    <w:link w:val="BHTextoCar"/>
    <w:qFormat/>
    <w:rsid w:val="00294E56"/>
    <w:pPr>
      <w:suppressAutoHyphens w:val="0"/>
      <w:autoSpaceDE w:val="0"/>
      <w:autoSpaceDN w:val="0"/>
      <w:adjustRightInd w:val="0"/>
      <w:spacing w:before="120" w:after="120" w:line="240" w:lineRule="auto"/>
      <w:ind w:leftChars="0" w:left="0" w:firstLineChars="0" w:firstLine="0"/>
      <w:jc w:val="both"/>
      <w:textDirection w:val="lrTb"/>
      <w:textAlignment w:val="auto"/>
      <w:outlineLvl w:val="9"/>
    </w:pPr>
    <w:rPr>
      <w:rFonts w:ascii="Times New Roman" w:hAnsi="Times New Roman" w:cs="Times New Roman"/>
      <w:position w:val="0"/>
      <w:sz w:val="20"/>
      <w:szCs w:val="20"/>
      <w:lang w:eastAsia="x-none"/>
    </w:rPr>
  </w:style>
  <w:style w:type="character" w:customStyle="1" w:styleId="BHTextoCar">
    <w:name w:val="BH Texto Car"/>
    <w:link w:val="BHTexto"/>
    <w:rsid w:val="00294E56"/>
    <w:rPr>
      <w:rFonts w:ascii="Times New Roman" w:hAnsi="Times New Roman" w:cs="Times New Roman"/>
      <w:sz w:val="20"/>
      <w:szCs w:val="20"/>
      <w:lang w:eastAsia="x-none"/>
    </w:rPr>
  </w:style>
  <w:style w:type="paragraph" w:styleId="Revisin">
    <w:name w:val="Revision"/>
    <w:hidden/>
    <w:uiPriority w:val="99"/>
    <w:semiHidden/>
    <w:rsid w:val="00BF2EBC"/>
    <w:pPr>
      <w:spacing w:after="0" w:line="240" w:lineRule="auto"/>
    </w:pPr>
    <w:rPr>
      <w:position w:val="-1"/>
      <w:lang w:eastAsia="en-US"/>
    </w:rPr>
  </w:style>
  <w:style w:type="table" w:styleId="Tablaconcuadrcula">
    <w:name w:val="Table Grid"/>
    <w:basedOn w:val="Tablanormal"/>
    <w:uiPriority w:val="39"/>
    <w:rsid w:val="00960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aliases w:val=".BT,5,BT,Body Bullet,Body Text CIM,Body Text Proposal2,Body Text cont,Body Text1,Bodytext,Borrador,Corpo de texto2,Ctrl+1,S&amp;S-First Line-1&quot;,a,b,bb,bd,body text,bt wide,ts"/>
    <w:basedOn w:val="Normal"/>
    <w:link w:val="TextoindependienteCar1"/>
    <w:rsid w:val="00F631CF"/>
    <w:pPr>
      <w:suppressAutoHyphens w:val="0"/>
      <w:spacing w:after="12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ES"/>
    </w:rPr>
  </w:style>
  <w:style w:type="character" w:customStyle="1" w:styleId="TextoindependienteCar1">
    <w:name w:val="Texto independiente Car1"/>
    <w:aliases w:val=".BT Car,5 Car,BT Car,Body Bullet Car,Body Text CIM Car,Body Text Proposal2 Car,Body Text cont Car,Body Text1 Car,Bodytext Car,Borrador Car,Corpo de texto2 Car,Ctrl+1 Car,S&amp;S-First Line-1&quot; Car,a Car,b Car,bb Car,bd Car,ts Car"/>
    <w:basedOn w:val="Fuentedeprrafopredeter"/>
    <w:link w:val="Textoindependiente"/>
    <w:rsid w:val="00F631CF"/>
    <w:rPr>
      <w:rFonts w:ascii="Times New Roman" w:eastAsia="Times New Roman" w:hAnsi="Times New Roman" w:cs="Times New Roman"/>
      <w:sz w:val="24"/>
      <w:szCs w:val="24"/>
      <w:lang w:eastAsia="es-ES"/>
    </w:rPr>
  </w:style>
  <w:style w:type="paragraph" w:customStyle="1" w:styleId="SUBTITULO1">
    <w:name w:val="SUBTITULO 1"/>
    <w:basedOn w:val="Puesto"/>
    <w:next w:val="Normal"/>
    <w:qFormat/>
    <w:rsid w:val="00302712"/>
    <w:pPr>
      <w:keepNext w:val="0"/>
      <w:keepLines w:val="0"/>
      <w:widowControl w:val="0"/>
      <w:tabs>
        <w:tab w:val="left" w:pos="-720"/>
      </w:tabs>
      <w:overflowPunct w:val="0"/>
      <w:autoSpaceDE w:val="0"/>
      <w:autoSpaceDN w:val="0"/>
      <w:adjustRightInd w:val="0"/>
      <w:spacing w:before="0" w:after="240" w:line="240" w:lineRule="auto"/>
      <w:ind w:leftChars="0" w:left="0" w:firstLineChars="0" w:firstLine="0"/>
      <w:textDirection w:val="lrTb"/>
      <w:textAlignment w:val="auto"/>
      <w:outlineLvl w:val="9"/>
    </w:pPr>
    <w:rPr>
      <w:rFonts w:ascii="Times New Roman" w:eastAsia="Times New Roman" w:hAnsi="Times New Roman" w:cs="Times New Roman"/>
      <w:b w:val="0"/>
      <w:spacing w:val="-3"/>
      <w:position w:val="0"/>
      <w:sz w:val="24"/>
      <w:szCs w:val="24"/>
      <w:lang w:val="en-US"/>
    </w:rPr>
  </w:style>
  <w:style w:type="paragraph" w:customStyle="1" w:styleId="PDE1">
    <w:name w:val="PDE1"/>
    <w:basedOn w:val="Normal"/>
    <w:link w:val="PDE1Car"/>
    <w:qFormat/>
    <w:rsid w:val="00302712"/>
    <w:pPr>
      <w:suppressAutoHyphens w:val="0"/>
      <w:autoSpaceDE w:val="0"/>
      <w:autoSpaceDN w:val="0"/>
      <w:adjustRightInd w:val="0"/>
      <w:spacing w:after="0" w:line="240" w:lineRule="auto"/>
      <w:ind w:leftChars="0" w:left="0" w:firstLineChars="0" w:firstLine="1418"/>
      <w:textDirection w:val="lrTb"/>
      <w:textAlignment w:val="auto"/>
      <w:outlineLvl w:val="9"/>
    </w:pPr>
    <w:rPr>
      <w:rFonts w:ascii="Times New Roman" w:eastAsia="Times New Roman" w:hAnsi="Times New Roman" w:cs="Times New Roman"/>
      <w:position w:val="0"/>
      <w:sz w:val="24"/>
      <w:szCs w:val="20"/>
      <w:u w:val="single"/>
    </w:rPr>
  </w:style>
  <w:style w:type="character" w:customStyle="1" w:styleId="PDE1Car">
    <w:name w:val="PDE1 Car"/>
    <w:basedOn w:val="Fuentedeprrafopredeter"/>
    <w:link w:val="PDE1"/>
    <w:rsid w:val="00302712"/>
    <w:rPr>
      <w:rFonts w:ascii="Times New Roman" w:eastAsia="Times New Roman" w:hAnsi="Times New Roman" w:cs="Times New Roman"/>
      <w:sz w:val="24"/>
      <w:szCs w:val="20"/>
      <w:u w:val="single"/>
      <w:lang w:eastAsia="en-US"/>
    </w:rPr>
  </w:style>
  <w:style w:type="paragraph" w:styleId="Textoindependienteprimerasangra">
    <w:name w:val="Body Text First Indent"/>
    <w:basedOn w:val="Textoindependiente"/>
    <w:link w:val="TextoindependienteprimerasangraCar"/>
    <w:rsid w:val="00923DC7"/>
    <w:pPr>
      <w:ind w:firstLine="210"/>
    </w:pPr>
    <w:rPr>
      <w:lang w:val="es-AR"/>
    </w:rPr>
  </w:style>
  <w:style w:type="character" w:customStyle="1" w:styleId="TextoindependienteprimerasangraCar">
    <w:name w:val="Texto independiente primera sangría Car"/>
    <w:basedOn w:val="TextoindependienteCar1"/>
    <w:link w:val="Textoindependienteprimerasangra"/>
    <w:rsid w:val="00923DC7"/>
    <w:rPr>
      <w:rFonts w:ascii="Times New Roman" w:eastAsia="Times New Roman" w:hAnsi="Times New Roman" w:cs="Times New Roman"/>
      <w:sz w:val="24"/>
      <w:szCs w:val="24"/>
      <w:lang w:val="es-AR" w:eastAsia="es-ES"/>
    </w:rPr>
  </w:style>
  <w:style w:type="paragraph" w:customStyle="1" w:styleId="ESPECIAL">
    <w:name w:val="ESPECIAL"/>
    <w:basedOn w:val="Normal"/>
    <w:link w:val="ESPECIALCar"/>
    <w:qFormat/>
    <w:rsid w:val="00923DC7"/>
    <w:pPr>
      <w:widowControl w:val="0"/>
      <w:tabs>
        <w:tab w:val="left" w:pos="795"/>
      </w:tabs>
      <w:suppressAutoHyphens w:val="0"/>
      <w:autoSpaceDE w:val="0"/>
      <w:autoSpaceDN w:val="0"/>
      <w:adjustRightInd w:val="0"/>
      <w:spacing w:after="240" w:line="240" w:lineRule="auto"/>
      <w:ind w:leftChars="0" w:left="0" w:firstLineChars="0" w:firstLine="1418"/>
      <w:textDirection w:val="lrTb"/>
      <w:textAlignment w:val="auto"/>
      <w:outlineLvl w:val="9"/>
    </w:pPr>
    <w:rPr>
      <w:rFonts w:ascii="Times New Roman" w:eastAsia="Times New Roman" w:hAnsi="Times New Roman" w:cs="Times New Roman"/>
      <w:position w:val="0"/>
      <w:sz w:val="24"/>
      <w:szCs w:val="20"/>
    </w:rPr>
  </w:style>
  <w:style w:type="character" w:customStyle="1" w:styleId="ESPECIALCar">
    <w:name w:val="ESPECIAL Car"/>
    <w:basedOn w:val="Fuentedeprrafopredeter"/>
    <w:link w:val="ESPECIAL"/>
    <w:rsid w:val="00923DC7"/>
    <w:rPr>
      <w:rFonts w:ascii="Times New Roman" w:eastAsia="Times New Roman" w:hAnsi="Times New Roman" w:cs="Times New Roman"/>
      <w:sz w:val="24"/>
      <w:szCs w:val="20"/>
      <w:lang w:eastAsia="en-US"/>
    </w:rPr>
  </w:style>
  <w:style w:type="character" w:styleId="Refdecomentario">
    <w:name w:val="annotation reference"/>
    <w:basedOn w:val="Fuentedeprrafopredeter"/>
    <w:uiPriority w:val="99"/>
    <w:semiHidden/>
    <w:unhideWhenUsed/>
    <w:rsid w:val="00950AF8"/>
    <w:rPr>
      <w:sz w:val="16"/>
      <w:szCs w:val="16"/>
    </w:rPr>
  </w:style>
  <w:style w:type="paragraph" w:styleId="Textocomentario">
    <w:name w:val="annotation text"/>
    <w:basedOn w:val="Normal"/>
    <w:link w:val="TextocomentarioCar"/>
    <w:uiPriority w:val="99"/>
    <w:unhideWhenUsed/>
    <w:rsid w:val="00950AF8"/>
    <w:pPr>
      <w:spacing w:line="240" w:lineRule="auto"/>
    </w:pPr>
    <w:rPr>
      <w:sz w:val="20"/>
      <w:szCs w:val="20"/>
    </w:rPr>
  </w:style>
  <w:style w:type="character" w:customStyle="1" w:styleId="TextocomentarioCar">
    <w:name w:val="Texto comentario Car"/>
    <w:basedOn w:val="Fuentedeprrafopredeter"/>
    <w:link w:val="Textocomentario"/>
    <w:uiPriority w:val="99"/>
    <w:rsid w:val="00950AF8"/>
    <w:rPr>
      <w:position w:val="-1"/>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950AF8"/>
    <w:rPr>
      <w:b/>
      <w:bCs/>
    </w:rPr>
  </w:style>
  <w:style w:type="character" w:customStyle="1" w:styleId="AsuntodelcomentarioCar">
    <w:name w:val="Asunto del comentario Car"/>
    <w:basedOn w:val="TextocomentarioCar"/>
    <w:link w:val="Asuntodelcomentario"/>
    <w:uiPriority w:val="99"/>
    <w:semiHidden/>
    <w:rsid w:val="00950AF8"/>
    <w:rPr>
      <w:b/>
      <w:bCs/>
      <w:position w:val="-1"/>
      <w:sz w:val="20"/>
      <w:szCs w:val="20"/>
      <w:lang w:eastAsia="en-US"/>
    </w:rPr>
  </w:style>
  <w:style w:type="character" w:customStyle="1" w:styleId="DTPunctuation">
    <w:name w:val="DT Punctuation"/>
    <w:basedOn w:val="Fuentedeprrafopredeter"/>
    <w:uiPriority w:val="99"/>
    <w:rsid w:val="00BA0BE9"/>
  </w:style>
  <w:style w:type="character" w:styleId="Textodelmarcadordeposicin">
    <w:name w:val="Placeholder Text"/>
    <w:basedOn w:val="Fuentedeprrafopredeter"/>
    <w:uiPriority w:val="99"/>
    <w:semiHidden/>
    <w:rsid w:val="005E0114"/>
    <w:rPr>
      <w:color w:val="808080"/>
    </w:rPr>
  </w:style>
  <w:style w:type="character" w:styleId="Hipervnculovisitado">
    <w:name w:val="FollowedHyperlink"/>
    <w:basedOn w:val="Fuentedeprrafopredeter"/>
    <w:uiPriority w:val="99"/>
    <w:semiHidden/>
    <w:unhideWhenUsed/>
    <w:rsid w:val="005E0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116">
      <w:bodyDiv w:val="1"/>
      <w:marLeft w:val="0"/>
      <w:marRight w:val="0"/>
      <w:marTop w:val="0"/>
      <w:marBottom w:val="0"/>
      <w:divBdr>
        <w:top w:val="none" w:sz="0" w:space="0" w:color="auto"/>
        <w:left w:val="none" w:sz="0" w:space="0" w:color="auto"/>
        <w:bottom w:val="none" w:sz="0" w:space="0" w:color="auto"/>
        <w:right w:val="none" w:sz="0" w:space="0" w:color="auto"/>
      </w:divBdr>
    </w:div>
    <w:div w:id="124584372">
      <w:bodyDiv w:val="1"/>
      <w:marLeft w:val="0"/>
      <w:marRight w:val="0"/>
      <w:marTop w:val="0"/>
      <w:marBottom w:val="0"/>
      <w:divBdr>
        <w:top w:val="none" w:sz="0" w:space="0" w:color="auto"/>
        <w:left w:val="none" w:sz="0" w:space="0" w:color="auto"/>
        <w:bottom w:val="none" w:sz="0" w:space="0" w:color="auto"/>
        <w:right w:val="none" w:sz="0" w:space="0" w:color="auto"/>
      </w:divBdr>
    </w:div>
    <w:div w:id="204561749">
      <w:bodyDiv w:val="1"/>
      <w:marLeft w:val="0"/>
      <w:marRight w:val="0"/>
      <w:marTop w:val="0"/>
      <w:marBottom w:val="0"/>
      <w:divBdr>
        <w:top w:val="none" w:sz="0" w:space="0" w:color="auto"/>
        <w:left w:val="none" w:sz="0" w:space="0" w:color="auto"/>
        <w:bottom w:val="none" w:sz="0" w:space="0" w:color="auto"/>
        <w:right w:val="none" w:sz="0" w:space="0" w:color="auto"/>
      </w:divBdr>
    </w:div>
    <w:div w:id="254048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6572">
          <w:marLeft w:val="446"/>
          <w:marRight w:val="0"/>
          <w:marTop w:val="0"/>
          <w:marBottom w:val="0"/>
          <w:divBdr>
            <w:top w:val="none" w:sz="0" w:space="0" w:color="auto"/>
            <w:left w:val="none" w:sz="0" w:space="0" w:color="auto"/>
            <w:bottom w:val="none" w:sz="0" w:space="0" w:color="auto"/>
            <w:right w:val="none" w:sz="0" w:space="0" w:color="auto"/>
          </w:divBdr>
        </w:div>
      </w:divsChild>
    </w:div>
    <w:div w:id="286013109">
      <w:bodyDiv w:val="1"/>
      <w:marLeft w:val="0"/>
      <w:marRight w:val="0"/>
      <w:marTop w:val="0"/>
      <w:marBottom w:val="0"/>
      <w:divBdr>
        <w:top w:val="none" w:sz="0" w:space="0" w:color="auto"/>
        <w:left w:val="none" w:sz="0" w:space="0" w:color="auto"/>
        <w:bottom w:val="none" w:sz="0" w:space="0" w:color="auto"/>
        <w:right w:val="none" w:sz="0" w:space="0" w:color="auto"/>
      </w:divBdr>
    </w:div>
    <w:div w:id="542861480">
      <w:bodyDiv w:val="1"/>
      <w:marLeft w:val="0"/>
      <w:marRight w:val="0"/>
      <w:marTop w:val="0"/>
      <w:marBottom w:val="0"/>
      <w:divBdr>
        <w:top w:val="none" w:sz="0" w:space="0" w:color="auto"/>
        <w:left w:val="none" w:sz="0" w:space="0" w:color="auto"/>
        <w:bottom w:val="none" w:sz="0" w:space="0" w:color="auto"/>
        <w:right w:val="none" w:sz="0" w:space="0" w:color="auto"/>
      </w:divBdr>
      <w:divsChild>
        <w:div w:id="826818981">
          <w:marLeft w:val="706"/>
          <w:marRight w:val="0"/>
          <w:marTop w:val="0"/>
          <w:marBottom w:val="0"/>
          <w:divBdr>
            <w:top w:val="none" w:sz="0" w:space="0" w:color="auto"/>
            <w:left w:val="none" w:sz="0" w:space="0" w:color="auto"/>
            <w:bottom w:val="none" w:sz="0" w:space="0" w:color="auto"/>
            <w:right w:val="none" w:sz="0" w:space="0" w:color="auto"/>
          </w:divBdr>
        </w:div>
        <w:div w:id="948661600">
          <w:marLeft w:val="706"/>
          <w:marRight w:val="0"/>
          <w:marTop w:val="0"/>
          <w:marBottom w:val="0"/>
          <w:divBdr>
            <w:top w:val="none" w:sz="0" w:space="0" w:color="auto"/>
            <w:left w:val="none" w:sz="0" w:space="0" w:color="auto"/>
            <w:bottom w:val="none" w:sz="0" w:space="0" w:color="auto"/>
            <w:right w:val="none" w:sz="0" w:space="0" w:color="auto"/>
          </w:divBdr>
        </w:div>
      </w:divsChild>
    </w:div>
    <w:div w:id="585386278">
      <w:bodyDiv w:val="1"/>
      <w:marLeft w:val="0"/>
      <w:marRight w:val="0"/>
      <w:marTop w:val="0"/>
      <w:marBottom w:val="0"/>
      <w:divBdr>
        <w:top w:val="none" w:sz="0" w:space="0" w:color="auto"/>
        <w:left w:val="none" w:sz="0" w:space="0" w:color="auto"/>
        <w:bottom w:val="none" w:sz="0" w:space="0" w:color="auto"/>
        <w:right w:val="none" w:sz="0" w:space="0" w:color="auto"/>
      </w:divBdr>
    </w:div>
    <w:div w:id="633603964">
      <w:bodyDiv w:val="1"/>
      <w:marLeft w:val="0"/>
      <w:marRight w:val="0"/>
      <w:marTop w:val="0"/>
      <w:marBottom w:val="0"/>
      <w:divBdr>
        <w:top w:val="none" w:sz="0" w:space="0" w:color="auto"/>
        <w:left w:val="none" w:sz="0" w:space="0" w:color="auto"/>
        <w:bottom w:val="none" w:sz="0" w:space="0" w:color="auto"/>
        <w:right w:val="none" w:sz="0" w:space="0" w:color="auto"/>
      </w:divBdr>
    </w:div>
    <w:div w:id="699476996">
      <w:bodyDiv w:val="1"/>
      <w:marLeft w:val="0"/>
      <w:marRight w:val="0"/>
      <w:marTop w:val="0"/>
      <w:marBottom w:val="0"/>
      <w:divBdr>
        <w:top w:val="none" w:sz="0" w:space="0" w:color="auto"/>
        <w:left w:val="none" w:sz="0" w:space="0" w:color="auto"/>
        <w:bottom w:val="none" w:sz="0" w:space="0" w:color="auto"/>
        <w:right w:val="none" w:sz="0" w:space="0" w:color="auto"/>
      </w:divBdr>
    </w:div>
    <w:div w:id="1260526318">
      <w:bodyDiv w:val="1"/>
      <w:marLeft w:val="0"/>
      <w:marRight w:val="0"/>
      <w:marTop w:val="0"/>
      <w:marBottom w:val="0"/>
      <w:divBdr>
        <w:top w:val="none" w:sz="0" w:space="0" w:color="auto"/>
        <w:left w:val="none" w:sz="0" w:space="0" w:color="auto"/>
        <w:bottom w:val="none" w:sz="0" w:space="0" w:color="auto"/>
        <w:right w:val="none" w:sz="0" w:space="0" w:color="auto"/>
      </w:divBdr>
    </w:div>
    <w:div w:id="1518158053">
      <w:bodyDiv w:val="1"/>
      <w:marLeft w:val="0"/>
      <w:marRight w:val="0"/>
      <w:marTop w:val="0"/>
      <w:marBottom w:val="0"/>
      <w:divBdr>
        <w:top w:val="none" w:sz="0" w:space="0" w:color="auto"/>
        <w:left w:val="none" w:sz="0" w:space="0" w:color="auto"/>
        <w:bottom w:val="none" w:sz="0" w:space="0" w:color="auto"/>
        <w:right w:val="none" w:sz="0" w:space="0" w:color="auto"/>
      </w:divBdr>
    </w:div>
    <w:div w:id="1619491115">
      <w:bodyDiv w:val="1"/>
      <w:marLeft w:val="0"/>
      <w:marRight w:val="0"/>
      <w:marTop w:val="0"/>
      <w:marBottom w:val="0"/>
      <w:divBdr>
        <w:top w:val="none" w:sz="0" w:space="0" w:color="auto"/>
        <w:left w:val="none" w:sz="0" w:space="0" w:color="auto"/>
        <w:bottom w:val="none" w:sz="0" w:space="0" w:color="auto"/>
        <w:right w:val="none" w:sz="0" w:space="0" w:color="auto"/>
      </w:divBdr>
    </w:div>
    <w:div w:id="1634795858">
      <w:bodyDiv w:val="1"/>
      <w:marLeft w:val="0"/>
      <w:marRight w:val="0"/>
      <w:marTop w:val="0"/>
      <w:marBottom w:val="0"/>
      <w:divBdr>
        <w:top w:val="none" w:sz="0" w:space="0" w:color="auto"/>
        <w:left w:val="none" w:sz="0" w:space="0" w:color="auto"/>
        <w:bottom w:val="none" w:sz="0" w:space="0" w:color="auto"/>
        <w:right w:val="none" w:sz="0" w:space="0" w:color="auto"/>
      </w:divBdr>
    </w:div>
    <w:div w:id="1852329782">
      <w:bodyDiv w:val="1"/>
      <w:marLeft w:val="0"/>
      <w:marRight w:val="0"/>
      <w:marTop w:val="0"/>
      <w:marBottom w:val="0"/>
      <w:divBdr>
        <w:top w:val="none" w:sz="0" w:space="0" w:color="auto"/>
        <w:left w:val="none" w:sz="0" w:space="0" w:color="auto"/>
        <w:bottom w:val="none" w:sz="0" w:space="0" w:color="auto"/>
        <w:right w:val="none" w:sz="0" w:space="0" w:color="auto"/>
      </w:divBdr>
    </w:div>
    <w:div w:id="1975334006">
      <w:bodyDiv w:val="1"/>
      <w:marLeft w:val="0"/>
      <w:marRight w:val="0"/>
      <w:marTop w:val="0"/>
      <w:marBottom w:val="0"/>
      <w:divBdr>
        <w:top w:val="none" w:sz="0" w:space="0" w:color="auto"/>
        <w:left w:val="none" w:sz="0" w:space="0" w:color="auto"/>
        <w:bottom w:val="none" w:sz="0" w:space="0" w:color="auto"/>
        <w:right w:val="none" w:sz="0" w:space="0" w:color="auto"/>
      </w:divBdr>
      <w:divsChild>
        <w:div w:id="602418918">
          <w:marLeft w:val="446"/>
          <w:marRight w:val="0"/>
          <w:marTop w:val="0"/>
          <w:marBottom w:val="0"/>
          <w:divBdr>
            <w:top w:val="none" w:sz="0" w:space="0" w:color="auto"/>
            <w:left w:val="none" w:sz="0" w:space="0" w:color="auto"/>
            <w:bottom w:val="none" w:sz="0" w:space="0" w:color="auto"/>
            <w:right w:val="none" w:sz="0" w:space="0" w:color="auto"/>
          </w:divBdr>
        </w:div>
        <w:div w:id="1743410799">
          <w:marLeft w:val="70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versores@tglt.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ri.tgl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5vwxk4JJHlfdyZT9LZnRX9qQ==">AMUW2mXvS8zi40O1qq/W9x5pJHjrFzTLe0zwCwh3/xbSKLbtIR3+ARVxU+9GbPqrmazqFcR1Obk09+OzDcn+KI5IfRIt0GWv3wemI52+E9/T/Y6lI29zWMxYj7iXev4kPsfvNSeswGlR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7F686-53D6-43DD-928F-4E2B6127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6101</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Vega Olmos</dc:creator>
  <cp:lastModifiedBy>PEREZ DE VILLARREAL, Nahuel</cp:lastModifiedBy>
  <cp:revision>2</cp:revision>
  <cp:lastPrinted>2021-09-29T00:33:00Z</cp:lastPrinted>
  <dcterms:created xsi:type="dcterms:W3CDTF">2022-02-16T21:07:00Z</dcterms:created>
  <dcterms:modified xsi:type="dcterms:W3CDTF">2022-02-16T21:07:00Z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0x010100501D19C8CAA1EF4583F5726C0B720D6C</vt:lpwstr>
  </property>
</Properties>
</file>