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781B" w14:textId="7B4AB2C3" w:rsidR="00B955DA" w:rsidRDefault="00B955DA" w:rsidP="00B955DA">
      <w:pPr>
        <w:widowControl w:val="0"/>
        <w:jc w:val="right"/>
        <w:rPr>
          <w:sz w:val="22"/>
          <w:szCs w:val="22"/>
          <w:lang w:val="es-ES"/>
        </w:rPr>
      </w:pPr>
    </w:p>
    <w:p w14:paraId="37EA6069" w14:textId="77777777" w:rsidR="00B955DA" w:rsidRDefault="00B955DA" w:rsidP="00B955DA">
      <w:pPr>
        <w:widowControl w:val="0"/>
        <w:rPr>
          <w:sz w:val="22"/>
          <w:szCs w:val="22"/>
          <w:lang w:val="es-ES"/>
        </w:rPr>
      </w:pPr>
    </w:p>
    <w:p w14:paraId="0686FA11" w14:textId="192F57BA" w:rsidR="00C13CB6" w:rsidRPr="00B955DA" w:rsidRDefault="00C13CB6" w:rsidP="00B955DA">
      <w:pPr>
        <w:widowControl w:val="0"/>
        <w:jc w:val="right"/>
        <w:rPr>
          <w:sz w:val="22"/>
          <w:szCs w:val="22"/>
          <w:lang w:val="es-ES"/>
        </w:rPr>
      </w:pPr>
      <w:r w:rsidRPr="00B955DA">
        <w:rPr>
          <w:sz w:val="22"/>
          <w:szCs w:val="22"/>
          <w:lang w:val="es-ES"/>
        </w:rPr>
        <w:t xml:space="preserve">Ciudad Autónoma de Buenos Aires, </w:t>
      </w:r>
      <w:r w:rsidR="00B44AC5" w:rsidRPr="00B955DA">
        <w:rPr>
          <w:sz w:val="22"/>
          <w:szCs w:val="22"/>
          <w:lang w:val="es-ES"/>
        </w:rPr>
        <w:t>5</w:t>
      </w:r>
      <w:r w:rsidR="002738D4" w:rsidRPr="00B955DA">
        <w:rPr>
          <w:sz w:val="22"/>
          <w:szCs w:val="22"/>
          <w:lang w:val="es-ES"/>
        </w:rPr>
        <w:t xml:space="preserve"> de</w:t>
      </w:r>
      <w:r w:rsidR="00245AE1" w:rsidRPr="00B955DA">
        <w:rPr>
          <w:sz w:val="22"/>
          <w:szCs w:val="22"/>
          <w:lang w:val="es-ES"/>
        </w:rPr>
        <w:t xml:space="preserve"> </w:t>
      </w:r>
      <w:r w:rsidR="00F70E0C" w:rsidRPr="00B955DA">
        <w:rPr>
          <w:sz w:val="22"/>
          <w:szCs w:val="22"/>
          <w:lang w:val="es-ES"/>
        </w:rPr>
        <w:t>noviembre de 2021</w:t>
      </w:r>
    </w:p>
    <w:p w14:paraId="03340212" w14:textId="77777777" w:rsidR="00C13CB6" w:rsidRPr="00B955DA" w:rsidRDefault="00C13CB6" w:rsidP="00C13CB6">
      <w:pPr>
        <w:widowControl w:val="0"/>
        <w:jc w:val="both"/>
        <w:rPr>
          <w:sz w:val="22"/>
          <w:szCs w:val="22"/>
          <w:lang w:val="es-ES"/>
        </w:rPr>
      </w:pPr>
    </w:p>
    <w:p w14:paraId="7D40203C" w14:textId="77777777" w:rsidR="00C13CB6" w:rsidRPr="00B955DA" w:rsidRDefault="00C13CB6" w:rsidP="00C13CB6">
      <w:pPr>
        <w:pStyle w:val="Piedepgina"/>
        <w:widowControl w:val="0"/>
        <w:tabs>
          <w:tab w:val="clear" w:pos="4320"/>
          <w:tab w:val="clear" w:pos="8640"/>
        </w:tabs>
        <w:suppressAutoHyphens w:val="0"/>
        <w:jc w:val="both"/>
        <w:rPr>
          <w:rFonts w:ascii="Times New Roman" w:hAnsi="Times New Roman"/>
          <w:sz w:val="22"/>
          <w:szCs w:val="22"/>
          <w:lang w:val="es-MX"/>
        </w:rPr>
      </w:pPr>
      <w:r w:rsidRPr="00B955DA">
        <w:rPr>
          <w:rFonts w:ascii="Times New Roman" w:hAnsi="Times New Roman"/>
          <w:sz w:val="22"/>
          <w:szCs w:val="22"/>
          <w:lang w:val="es-MX"/>
        </w:rPr>
        <w:t>Señores</w:t>
      </w:r>
    </w:p>
    <w:p w14:paraId="2021AABE" w14:textId="77777777" w:rsidR="00C13CB6" w:rsidRPr="00B955DA" w:rsidRDefault="00C13CB6" w:rsidP="00C13CB6">
      <w:pPr>
        <w:pStyle w:val="Ttulo3"/>
        <w:keepNext w:val="0"/>
        <w:widowControl w:val="0"/>
        <w:suppressAutoHyphens w:val="0"/>
        <w:rPr>
          <w:b/>
          <w:sz w:val="22"/>
          <w:szCs w:val="22"/>
          <w:u w:val="none"/>
        </w:rPr>
      </w:pPr>
      <w:r w:rsidRPr="00B955DA">
        <w:rPr>
          <w:b/>
          <w:sz w:val="22"/>
          <w:szCs w:val="22"/>
          <w:u w:val="none"/>
        </w:rPr>
        <w:t>Comisión Nacional de Valores</w:t>
      </w:r>
    </w:p>
    <w:p w14:paraId="469FF8B0" w14:textId="77777777" w:rsidR="00286D54" w:rsidRPr="00B955DA" w:rsidRDefault="00286D54" w:rsidP="00286D54">
      <w:pPr>
        <w:jc w:val="both"/>
        <w:rPr>
          <w:b/>
          <w:sz w:val="22"/>
          <w:szCs w:val="22"/>
          <w:lang w:val="es-ES" w:eastAsia="ar-SA"/>
        </w:rPr>
      </w:pPr>
      <w:r w:rsidRPr="00B955DA">
        <w:rPr>
          <w:b/>
          <w:sz w:val="22"/>
          <w:szCs w:val="22"/>
          <w:lang w:val="es-ES" w:eastAsia="ar-SA"/>
        </w:rPr>
        <w:t>Bolsa de Comercio de Buenos Aires</w:t>
      </w:r>
    </w:p>
    <w:p w14:paraId="02146496" w14:textId="77777777" w:rsidR="00286D54" w:rsidRPr="00B955DA" w:rsidRDefault="00286D54" w:rsidP="00286D54">
      <w:pPr>
        <w:jc w:val="both"/>
        <w:rPr>
          <w:b/>
          <w:sz w:val="22"/>
          <w:szCs w:val="22"/>
          <w:lang w:val="es-ES" w:eastAsia="ar-SA"/>
        </w:rPr>
      </w:pPr>
      <w:r w:rsidRPr="00B955DA">
        <w:rPr>
          <w:b/>
          <w:sz w:val="22"/>
          <w:szCs w:val="22"/>
          <w:lang w:val="es-ES" w:eastAsia="ar-SA"/>
        </w:rPr>
        <w:t>Mercado Abierto Electrónico</w:t>
      </w:r>
    </w:p>
    <w:p w14:paraId="63639081" w14:textId="77777777" w:rsidR="00F25464" w:rsidRPr="00B955DA" w:rsidRDefault="00F25464" w:rsidP="00C13CB6">
      <w:pPr>
        <w:pStyle w:val="Ttulo2"/>
        <w:keepNext w:val="0"/>
        <w:widowControl w:val="0"/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DAB7FAD" w14:textId="77777777" w:rsidR="00C13CB6" w:rsidRPr="00B955DA" w:rsidRDefault="00C13CB6" w:rsidP="00C13CB6">
      <w:pPr>
        <w:pStyle w:val="Ttulo2"/>
        <w:keepNext w:val="0"/>
        <w:widowControl w:val="0"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B955DA">
        <w:rPr>
          <w:rFonts w:ascii="Times New Roman" w:hAnsi="Times New Roman"/>
          <w:sz w:val="22"/>
          <w:szCs w:val="22"/>
        </w:rPr>
        <w:t>Presente</w:t>
      </w:r>
    </w:p>
    <w:p w14:paraId="4757C53A" w14:textId="77777777" w:rsidR="00C13CB6" w:rsidRPr="00B955DA" w:rsidRDefault="00C13CB6" w:rsidP="00516EE1">
      <w:pPr>
        <w:pStyle w:val="Ttulo2"/>
        <w:keepNext w:val="0"/>
        <w:widowControl w:val="0"/>
        <w:suppressAutoHyphens w:val="0"/>
        <w:ind w:left="4395"/>
        <w:jc w:val="both"/>
        <w:rPr>
          <w:rFonts w:ascii="Times New Roman" w:hAnsi="Times New Roman"/>
          <w:sz w:val="22"/>
          <w:szCs w:val="22"/>
          <w:u w:val="none"/>
        </w:rPr>
      </w:pPr>
      <w:r w:rsidRPr="00B955DA">
        <w:rPr>
          <w:rFonts w:ascii="Times New Roman" w:hAnsi="Times New Roman"/>
          <w:b/>
          <w:bCs/>
          <w:sz w:val="22"/>
          <w:szCs w:val="22"/>
        </w:rPr>
        <w:t>Ref.</w:t>
      </w:r>
      <w:r w:rsidRPr="00B955DA">
        <w:rPr>
          <w:rFonts w:ascii="Times New Roman" w:hAnsi="Times New Roman"/>
          <w:b/>
          <w:bCs/>
          <w:sz w:val="22"/>
          <w:szCs w:val="22"/>
          <w:u w:val="none"/>
        </w:rPr>
        <w:t>:</w:t>
      </w:r>
      <w:r w:rsidRPr="00B955DA">
        <w:rPr>
          <w:rFonts w:ascii="Times New Roman" w:hAnsi="Times New Roman"/>
          <w:b/>
          <w:bCs/>
          <w:sz w:val="22"/>
          <w:szCs w:val="22"/>
          <w:u w:val="none"/>
        </w:rPr>
        <w:tab/>
        <w:t xml:space="preserve"> </w:t>
      </w:r>
      <w:r w:rsidR="00286D54" w:rsidRPr="00B955DA"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TGLT</w:t>
      </w:r>
      <w:r w:rsidRPr="00B955DA"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 xml:space="preserve"> S.A. – </w:t>
      </w:r>
      <w:r w:rsidR="009937FA" w:rsidRPr="00B955DA">
        <w:rPr>
          <w:rFonts w:ascii="Times New Roman" w:hAnsi="Times New Roman"/>
          <w:bCs/>
          <w:iCs/>
          <w:sz w:val="22"/>
          <w:szCs w:val="22"/>
          <w:u w:val="none"/>
        </w:rPr>
        <w:t>Operación con Parte Relacionada</w:t>
      </w:r>
      <w:r w:rsidRPr="00B955DA">
        <w:rPr>
          <w:rFonts w:ascii="Times New Roman" w:hAnsi="Times New Roman"/>
          <w:bCs/>
          <w:iCs/>
          <w:sz w:val="22"/>
          <w:szCs w:val="22"/>
          <w:u w:val="none"/>
        </w:rPr>
        <w:t xml:space="preserve"> </w:t>
      </w:r>
    </w:p>
    <w:p w14:paraId="710D1D7A" w14:textId="77777777" w:rsidR="00C13CB6" w:rsidRPr="00B955DA" w:rsidRDefault="00C13CB6" w:rsidP="00C13CB6">
      <w:pPr>
        <w:jc w:val="both"/>
        <w:rPr>
          <w:sz w:val="22"/>
          <w:szCs w:val="22"/>
          <w:lang w:val="es-ES"/>
        </w:rPr>
      </w:pPr>
      <w:r w:rsidRPr="00B955DA">
        <w:rPr>
          <w:sz w:val="22"/>
          <w:szCs w:val="22"/>
          <w:lang w:val="es-ES"/>
        </w:rPr>
        <w:t>De mi consideración:</w:t>
      </w:r>
    </w:p>
    <w:p w14:paraId="390EDEB4" w14:textId="3FE05741" w:rsidR="00271D17" w:rsidRPr="00B955DA" w:rsidRDefault="00C13CB6" w:rsidP="00B955DA">
      <w:pPr>
        <w:spacing w:before="120" w:after="120" w:line="320" w:lineRule="exact"/>
        <w:ind w:firstLine="708"/>
        <w:jc w:val="both"/>
        <w:rPr>
          <w:sz w:val="22"/>
          <w:szCs w:val="22"/>
          <w:lang w:val="es-ES"/>
        </w:rPr>
      </w:pPr>
      <w:r w:rsidRPr="00B955DA">
        <w:rPr>
          <w:sz w:val="22"/>
          <w:szCs w:val="22"/>
          <w:lang w:val="es-ES"/>
        </w:rPr>
        <w:t xml:space="preserve">Me dirijo a ustedes en mi carácter de Responsable de Relaciones con el Mercado de </w:t>
      </w:r>
      <w:r w:rsidR="00286D54" w:rsidRPr="00B955DA">
        <w:rPr>
          <w:sz w:val="22"/>
          <w:szCs w:val="22"/>
          <w:lang w:val="es-ES"/>
        </w:rPr>
        <w:t>TGLT</w:t>
      </w:r>
      <w:r w:rsidRPr="00B955DA">
        <w:rPr>
          <w:sz w:val="22"/>
          <w:szCs w:val="22"/>
          <w:lang w:val="es-ES"/>
        </w:rPr>
        <w:t xml:space="preserve"> S.A. (la “</w:t>
      </w:r>
      <w:r w:rsidRPr="00B955DA">
        <w:rPr>
          <w:sz w:val="22"/>
          <w:szCs w:val="22"/>
          <w:u w:val="single"/>
          <w:lang w:val="es-ES"/>
        </w:rPr>
        <w:t>Sociedad</w:t>
      </w:r>
      <w:r w:rsidRPr="00B955DA">
        <w:rPr>
          <w:sz w:val="22"/>
          <w:szCs w:val="22"/>
          <w:lang w:val="es-ES"/>
        </w:rPr>
        <w:t>”), a fin de informar que</w:t>
      </w:r>
      <w:r w:rsidR="00DE0A43" w:rsidRPr="00B955DA">
        <w:rPr>
          <w:sz w:val="22"/>
          <w:szCs w:val="22"/>
          <w:lang w:val="es-ES"/>
        </w:rPr>
        <w:t xml:space="preserve"> en el día de la fecha</w:t>
      </w:r>
      <w:r w:rsidR="009937FA" w:rsidRPr="00B955DA">
        <w:rPr>
          <w:sz w:val="22"/>
          <w:szCs w:val="22"/>
          <w:lang w:val="es-ES"/>
        </w:rPr>
        <w:t>,</w:t>
      </w:r>
      <w:r w:rsidR="009B443B" w:rsidRPr="00B955DA">
        <w:rPr>
          <w:sz w:val="22"/>
          <w:szCs w:val="22"/>
          <w:lang w:val="es-ES"/>
        </w:rPr>
        <w:t xml:space="preserve"> </w:t>
      </w:r>
      <w:r w:rsidR="009937FA" w:rsidRPr="00B955DA">
        <w:rPr>
          <w:sz w:val="22"/>
          <w:szCs w:val="22"/>
          <w:lang w:val="es-ES"/>
        </w:rPr>
        <w:t>Ponte Armelina S.A. (como deudora) y TGLT Uruguay S.A. (como fiadora) (conjuntamente, las “</w:t>
      </w:r>
      <w:r w:rsidR="009937FA" w:rsidRPr="00B955DA">
        <w:rPr>
          <w:sz w:val="22"/>
          <w:szCs w:val="22"/>
          <w:u w:val="single"/>
          <w:lang w:val="es-ES"/>
        </w:rPr>
        <w:t>Deudoras</w:t>
      </w:r>
      <w:r w:rsidR="009937FA" w:rsidRPr="00B955DA">
        <w:rPr>
          <w:sz w:val="22"/>
          <w:szCs w:val="22"/>
          <w:lang w:val="es-ES"/>
        </w:rPr>
        <w:t xml:space="preserve">”; ambas sociedades, constituidas en la República Oriental del Uruguay y totalmente controladas por la Sociedad), han suscripto con </w:t>
      </w:r>
      <w:proofErr w:type="spellStart"/>
      <w:r w:rsidR="009937FA" w:rsidRPr="00B955DA">
        <w:rPr>
          <w:sz w:val="22"/>
          <w:szCs w:val="22"/>
          <w:lang w:val="es-ES"/>
        </w:rPr>
        <w:t>Hospitality</w:t>
      </w:r>
      <w:proofErr w:type="spellEnd"/>
      <w:r w:rsidR="009937FA" w:rsidRPr="00B955DA">
        <w:rPr>
          <w:sz w:val="22"/>
          <w:szCs w:val="22"/>
          <w:lang w:val="es-ES"/>
        </w:rPr>
        <w:t xml:space="preserve"> </w:t>
      </w:r>
      <w:proofErr w:type="spellStart"/>
      <w:r w:rsidR="009937FA" w:rsidRPr="00B955DA">
        <w:rPr>
          <w:sz w:val="22"/>
          <w:szCs w:val="22"/>
          <w:lang w:val="es-ES"/>
        </w:rPr>
        <w:t>Infrastructure</w:t>
      </w:r>
      <w:proofErr w:type="spellEnd"/>
      <w:r w:rsidR="009937FA" w:rsidRPr="00B955DA">
        <w:rPr>
          <w:sz w:val="22"/>
          <w:szCs w:val="22"/>
          <w:lang w:val="es-ES"/>
        </w:rPr>
        <w:t>, LLC (una entidad indirectamente controlada por Po</w:t>
      </w:r>
      <w:r w:rsidR="008105CA" w:rsidRPr="00B955DA">
        <w:rPr>
          <w:sz w:val="22"/>
          <w:szCs w:val="22"/>
          <w:lang w:val="es-ES"/>
        </w:rPr>
        <w:t xml:space="preserve">int </w:t>
      </w:r>
      <w:proofErr w:type="spellStart"/>
      <w:r w:rsidR="008105CA" w:rsidRPr="00B955DA">
        <w:rPr>
          <w:sz w:val="22"/>
          <w:szCs w:val="22"/>
          <w:lang w:val="es-ES"/>
        </w:rPr>
        <w:t>Argentum</w:t>
      </w:r>
      <w:proofErr w:type="spellEnd"/>
      <w:r w:rsidR="008105CA" w:rsidRPr="00B955DA">
        <w:rPr>
          <w:sz w:val="22"/>
          <w:szCs w:val="22"/>
          <w:lang w:val="es-ES"/>
        </w:rPr>
        <w:t xml:space="preserve"> Master </w:t>
      </w:r>
      <w:proofErr w:type="spellStart"/>
      <w:r w:rsidR="008105CA" w:rsidRPr="00B955DA">
        <w:rPr>
          <w:sz w:val="22"/>
          <w:szCs w:val="22"/>
          <w:lang w:val="es-ES"/>
        </w:rPr>
        <w:t>Fund</w:t>
      </w:r>
      <w:proofErr w:type="spellEnd"/>
      <w:r w:rsidR="008105CA" w:rsidRPr="00B955DA">
        <w:rPr>
          <w:sz w:val="22"/>
          <w:szCs w:val="22"/>
          <w:lang w:val="es-ES"/>
        </w:rPr>
        <w:t xml:space="preserve"> LP) y </w:t>
      </w:r>
      <w:proofErr w:type="spellStart"/>
      <w:r w:rsidR="009937FA" w:rsidRPr="00B955DA">
        <w:rPr>
          <w:sz w:val="22"/>
          <w:szCs w:val="22"/>
          <w:lang w:val="es-ES"/>
        </w:rPr>
        <w:t>Latin</w:t>
      </w:r>
      <w:proofErr w:type="spellEnd"/>
      <w:r w:rsidR="009937FA" w:rsidRPr="00B955DA">
        <w:rPr>
          <w:sz w:val="22"/>
          <w:szCs w:val="22"/>
          <w:lang w:val="es-ES"/>
        </w:rPr>
        <w:t xml:space="preserve"> </w:t>
      </w:r>
      <w:proofErr w:type="spellStart"/>
      <w:r w:rsidR="009937FA" w:rsidRPr="00B955DA">
        <w:rPr>
          <w:sz w:val="22"/>
          <w:szCs w:val="22"/>
          <w:lang w:val="es-ES"/>
        </w:rPr>
        <w:t>Advisors</w:t>
      </w:r>
      <w:proofErr w:type="spellEnd"/>
      <w:r w:rsidR="009937FA" w:rsidRPr="00B955DA">
        <w:rPr>
          <w:sz w:val="22"/>
          <w:szCs w:val="22"/>
          <w:lang w:val="es-ES"/>
        </w:rPr>
        <w:t xml:space="preserve"> S.A</w:t>
      </w:r>
      <w:r w:rsidR="008105CA" w:rsidRPr="00B955DA">
        <w:rPr>
          <w:sz w:val="22"/>
          <w:szCs w:val="22"/>
          <w:lang w:val="es-ES"/>
        </w:rPr>
        <w:t>.</w:t>
      </w:r>
      <w:r w:rsidR="009937FA" w:rsidRPr="00B955DA">
        <w:rPr>
          <w:sz w:val="22"/>
          <w:szCs w:val="22"/>
          <w:lang w:val="es-ES"/>
        </w:rPr>
        <w:t xml:space="preserve"> (los “</w:t>
      </w:r>
      <w:r w:rsidR="009937FA" w:rsidRPr="00B955DA">
        <w:rPr>
          <w:sz w:val="22"/>
          <w:szCs w:val="22"/>
          <w:u w:val="single"/>
          <w:lang w:val="es-ES"/>
        </w:rPr>
        <w:t>Acreedores</w:t>
      </w:r>
      <w:r w:rsidR="009937FA" w:rsidRPr="00B955DA">
        <w:rPr>
          <w:sz w:val="22"/>
          <w:szCs w:val="22"/>
          <w:lang w:val="es-ES"/>
        </w:rPr>
        <w:t>”) un contrato de financiamiento (el “</w:t>
      </w:r>
      <w:r w:rsidR="009937FA" w:rsidRPr="00B955DA">
        <w:rPr>
          <w:sz w:val="22"/>
          <w:szCs w:val="22"/>
          <w:u w:val="single"/>
          <w:lang w:val="es-ES"/>
        </w:rPr>
        <w:t>Contrato de Financiamiento</w:t>
      </w:r>
      <w:r w:rsidR="009937FA" w:rsidRPr="00B955DA">
        <w:rPr>
          <w:sz w:val="22"/>
          <w:szCs w:val="22"/>
          <w:lang w:val="es-ES"/>
        </w:rPr>
        <w:t>”). Como consecuencia del Contrato de Financiamiento, y sujeto a las condiciones precedentes allí previstas, los Acreedores otorgarán a las Deudoras un financiamiento por hasta US$</w:t>
      </w:r>
      <w:r w:rsidR="008105CA" w:rsidRPr="00B955DA">
        <w:rPr>
          <w:sz w:val="22"/>
          <w:szCs w:val="22"/>
          <w:lang w:val="es-ES"/>
        </w:rPr>
        <w:t xml:space="preserve"> 15</w:t>
      </w:r>
      <w:r w:rsidR="009937FA" w:rsidRPr="00B955DA">
        <w:rPr>
          <w:sz w:val="22"/>
          <w:szCs w:val="22"/>
          <w:lang w:val="es-ES"/>
        </w:rPr>
        <w:t xml:space="preserve">0.000 (Dólares Estadounidenses </w:t>
      </w:r>
      <w:r w:rsidR="008105CA" w:rsidRPr="00B955DA">
        <w:rPr>
          <w:sz w:val="22"/>
          <w:szCs w:val="22"/>
          <w:lang w:val="es-ES"/>
        </w:rPr>
        <w:t>ciento cincuenta</w:t>
      </w:r>
      <w:r w:rsidR="009937FA" w:rsidRPr="00B955DA">
        <w:rPr>
          <w:sz w:val="22"/>
          <w:szCs w:val="22"/>
          <w:lang w:val="es-ES"/>
        </w:rPr>
        <w:t xml:space="preserve"> mil), </w:t>
      </w:r>
      <w:r w:rsidR="00271D17" w:rsidRPr="00B955DA">
        <w:rPr>
          <w:sz w:val="22"/>
          <w:szCs w:val="22"/>
          <w:lang w:val="es-ES"/>
        </w:rPr>
        <w:t xml:space="preserve">con vencimiento a </w:t>
      </w:r>
      <w:r w:rsidR="008105CA" w:rsidRPr="00B955DA">
        <w:rPr>
          <w:sz w:val="22"/>
          <w:szCs w:val="22"/>
          <w:lang w:val="es-ES"/>
        </w:rPr>
        <w:t xml:space="preserve">los 20 días </w:t>
      </w:r>
      <w:r w:rsidR="00B44AC5" w:rsidRPr="00B955DA">
        <w:rPr>
          <w:sz w:val="22"/>
          <w:szCs w:val="22"/>
          <w:lang w:val="es-ES"/>
        </w:rPr>
        <w:t xml:space="preserve">corridos </w:t>
      </w:r>
      <w:r w:rsidR="00271D17" w:rsidRPr="00B955DA">
        <w:rPr>
          <w:sz w:val="22"/>
          <w:szCs w:val="22"/>
          <w:lang w:val="es-ES"/>
        </w:rPr>
        <w:t>desde la fecha de desembolso, con una tasa</w:t>
      </w:r>
      <w:r w:rsidR="008105CA" w:rsidRPr="00B955DA">
        <w:rPr>
          <w:sz w:val="22"/>
          <w:szCs w:val="22"/>
          <w:lang w:val="es-ES"/>
        </w:rPr>
        <w:t xml:space="preserve"> de interés</w:t>
      </w:r>
      <w:r w:rsidR="00880768" w:rsidRPr="00B955DA">
        <w:rPr>
          <w:sz w:val="22"/>
          <w:szCs w:val="22"/>
          <w:lang w:val="es-ES"/>
        </w:rPr>
        <w:t xml:space="preserve"> fija</w:t>
      </w:r>
      <w:r w:rsidR="008105CA" w:rsidRPr="00B955DA">
        <w:rPr>
          <w:sz w:val="22"/>
          <w:szCs w:val="22"/>
          <w:lang w:val="es-ES"/>
        </w:rPr>
        <w:t xml:space="preserve"> nominal anual del 8% (ocho</w:t>
      </w:r>
      <w:r w:rsidR="00271D17" w:rsidRPr="00B955DA">
        <w:rPr>
          <w:sz w:val="22"/>
          <w:szCs w:val="22"/>
          <w:lang w:val="es-ES"/>
        </w:rPr>
        <w:t xml:space="preserve"> por ciento); todo ello, pagadero al vencimiento de la financiación.</w:t>
      </w:r>
      <w:r w:rsidR="00B955DA">
        <w:rPr>
          <w:sz w:val="22"/>
          <w:szCs w:val="22"/>
          <w:lang w:val="es-ES"/>
        </w:rPr>
        <w:t xml:space="preserve"> </w:t>
      </w:r>
      <w:r w:rsidR="00271D17" w:rsidRPr="00B955DA">
        <w:rPr>
          <w:sz w:val="22"/>
          <w:szCs w:val="22"/>
          <w:lang w:val="es-ES"/>
        </w:rPr>
        <w:t xml:space="preserve">Hacemos saber a Ud. que los fondos a ser desembolsados bajo el Contrato de Financiamiento serán aplicados por las Deudoras principalmente a </w:t>
      </w:r>
      <w:r w:rsidR="00B71A72" w:rsidRPr="00B955DA">
        <w:rPr>
          <w:sz w:val="22"/>
          <w:szCs w:val="22"/>
          <w:lang w:val="es-ES"/>
        </w:rPr>
        <w:t>la financiación del capital de trabajo.</w:t>
      </w:r>
    </w:p>
    <w:p w14:paraId="470AA54B" w14:textId="77777777" w:rsidR="00440602" w:rsidRPr="00B955DA" w:rsidRDefault="00BB2AA4" w:rsidP="00B955DA">
      <w:pPr>
        <w:spacing w:before="120" w:after="120" w:line="320" w:lineRule="exact"/>
        <w:ind w:firstLine="708"/>
        <w:jc w:val="both"/>
        <w:rPr>
          <w:sz w:val="22"/>
          <w:szCs w:val="22"/>
          <w:lang w:val="es-ES"/>
        </w:rPr>
      </w:pPr>
      <w:r w:rsidRPr="00B955DA">
        <w:rPr>
          <w:sz w:val="22"/>
          <w:szCs w:val="22"/>
          <w:lang w:val="es-ES"/>
        </w:rPr>
        <w:t>Asimismo, informamos que</w:t>
      </w:r>
      <w:r w:rsidR="00BB7DD0" w:rsidRPr="00B955DA">
        <w:rPr>
          <w:sz w:val="22"/>
          <w:szCs w:val="22"/>
          <w:lang w:val="es-ES"/>
        </w:rPr>
        <w:t>, en virtud de que</w:t>
      </w:r>
      <w:r w:rsidRPr="00B955DA">
        <w:rPr>
          <w:sz w:val="22"/>
          <w:szCs w:val="22"/>
          <w:lang w:val="es-ES"/>
        </w:rPr>
        <w:t xml:space="preserve"> el Contrato de Financiamiento fo</w:t>
      </w:r>
      <w:r w:rsidR="00D10C9F" w:rsidRPr="00B955DA">
        <w:rPr>
          <w:sz w:val="22"/>
          <w:szCs w:val="22"/>
          <w:lang w:val="es-ES"/>
        </w:rPr>
        <w:t>rma parte del</w:t>
      </w:r>
      <w:r w:rsidRPr="00B955DA">
        <w:rPr>
          <w:sz w:val="22"/>
          <w:szCs w:val="22"/>
          <w:lang w:val="es-ES"/>
        </w:rPr>
        <w:t xml:space="preserve"> financiamiento </w:t>
      </w:r>
      <w:r w:rsidR="00D10C9F" w:rsidRPr="00B955DA">
        <w:rPr>
          <w:sz w:val="22"/>
          <w:szCs w:val="22"/>
          <w:lang w:val="es-ES"/>
        </w:rPr>
        <w:t>otorgado por</w:t>
      </w:r>
      <w:r w:rsidRPr="00B955DA">
        <w:rPr>
          <w:sz w:val="22"/>
          <w:szCs w:val="22"/>
          <w:lang w:val="es-ES"/>
        </w:rPr>
        <w:t xml:space="preserve"> los Acreedores con fecha 2 de octubre de 2020</w:t>
      </w:r>
      <w:r w:rsidR="00D10C9F" w:rsidRPr="00B955DA">
        <w:rPr>
          <w:sz w:val="22"/>
          <w:szCs w:val="22"/>
          <w:lang w:val="es-ES"/>
        </w:rPr>
        <w:t xml:space="preserve"> (</w:t>
      </w:r>
      <w:r w:rsidRPr="00B955DA">
        <w:rPr>
          <w:sz w:val="22"/>
          <w:szCs w:val="22"/>
          <w:lang w:val="es-ES"/>
        </w:rPr>
        <w:t>conforme fuera informado por el hecho relevante publicado en dicha fecha bajo el ID 2665826</w:t>
      </w:r>
      <w:r w:rsidR="00D10C9F" w:rsidRPr="00B955DA">
        <w:rPr>
          <w:sz w:val="22"/>
          <w:szCs w:val="22"/>
          <w:lang w:val="es-ES"/>
        </w:rPr>
        <w:t>)</w:t>
      </w:r>
      <w:r w:rsidRPr="00B955DA">
        <w:rPr>
          <w:sz w:val="22"/>
          <w:szCs w:val="22"/>
          <w:lang w:val="es-ES"/>
        </w:rPr>
        <w:t xml:space="preserve">, </w:t>
      </w:r>
      <w:r w:rsidR="00D10C9F" w:rsidRPr="00B955DA">
        <w:rPr>
          <w:sz w:val="22"/>
          <w:szCs w:val="22"/>
          <w:lang w:val="es-ES"/>
        </w:rPr>
        <w:t>garantizado,</w:t>
      </w:r>
      <w:r w:rsidRPr="00B955DA">
        <w:rPr>
          <w:sz w:val="22"/>
          <w:szCs w:val="22"/>
          <w:lang w:val="es-ES"/>
        </w:rPr>
        <w:t xml:space="preserve"> </w:t>
      </w:r>
      <w:r w:rsidR="00BB7DD0" w:rsidRPr="00B955DA">
        <w:rPr>
          <w:sz w:val="22"/>
          <w:szCs w:val="22"/>
          <w:lang w:val="es-ES"/>
        </w:rPr>
        <w:t>entre otras,</w:t>
      </w:r>
      <w:r w:rsidRPr="00B955DA">
        <w:rPr>
          <w:sz w:val="22"/>
          <w:szCs w:val="22"/>
          <w:lang w:val="es-ES"/>
        </w:rPr>
        <w:t xml:space="preserve"> por </w:t>
      </w:r>
      <w:r w:rsidRPr="00B955DA">
        <w:rPr>
          <w:sz w:val="22"/>
          <w:szCs w:val="22"/>
          <w:lang w:val="es-AR"/>
        </w:rPr>
        <w:t xml:space="preserve">(a) una prenda en primer grado y sin desplazamiento sobre la totalidad de las acciones de </w:t>
      </w:r>
      <w:r w:rsidR="00113A42" w:rsidRPr="00B955DA">
        <w:rPr>
          <w:sz w:val="22"/>
          <w:szCs w:val="22"/>
          <w:lang w:val="es-ES"/>
        </w:rPr>
        <w:t>Ponte Armelina S.A.</w:t>
      </w:r>
      <w:r w:rsidRPr="00B955DA">
        <w:rPr>
          <w:sz w:val="22"/>
          <w:szCs w:val="22"/>
          <w:lang w:val="es-AR"/>
        </w:rPr>
        <w:t xml:space="preserve"> (la “</w:t>
      </w:r>
      <w:r w:rsidRPr="00B955DA">
        <w:rPr>
          <w:sz w:val="22"/>
          <w:szCs w:val="22"/>
          <w:u w:val="single"/>
          <w:lang w:val="es-AR"/>
        </w:rPr>
        <w:t>Prenda de Acciones</w:t>
      </w:r>
      <w:r w:rsidR="00D10C9F" w:rsidRPr="00B955DA">
        <w:rPr>
          <w:sz w:val="22"/>
          <w:szCs w:val="22"/>
          <w:lang w:val="es-AR"/>
        </w:rPr>
        <w:t>”); y</w:t>
      </w:r>
      <w:r w:rsidRPr="00B955DA">
        <w:rPr>
          <w:sz w:val="22"/>
          <w:szCs w:val="22"/>
          <w:lang w:val="es-AR"/>
        </w:rPr>
        <w:t xml:space="preserve"> (b) una cesión fiduciaria en garantía celebrada entre TGLT S.</w:t>
      </w:r>
      <w:r w:rsidR="00873242" w:rsidRPr="00B955DA">
        <w:rPr>
          <w:sz w:val="22"/>
          <w:szCs w:val="22"/>
          <w:lang w:val="es-AR"/>
        </w:rPr>
        <w:t>A., en calidad de fiduciante</w:t>
      </w:r>
      <w:r w:rsidRPr="00B955DA">
        <w:rPr>
          <w:sz w:val="22"/>
          <w:szCs w:val="22"/>
          <w:lang w:val="es-AR"/>
        </w:rPr>
        <w:t xml:space="preserve">, </w:t>
      </w:r>
      <w:r w:rsidRPr="00B955DA">
        <w:rPr>
          <w:sz w:val="22"/>
          <w:szCs w:val="22"/>
          <w:lang w:val="es-UY"/>
        </w:rPr>
        <w:t xml:space="preserve">Promotora Fiduciaria S.A., en calidad de fiduciario, y los </w:t>
      </w:r>
      <w:r w:rsidR="00113A42" w:rsidRPr="00B955DA">
        <w:rPr>
          <w:sz w:val="22"/>
          <w:szCs w:val="22"/>
          <w:lang w:val="es-UY"/>
        </w:rPr>
        <w:t>Acreedores</w:t>
      </w:r>
      <w:r w:rsidRPr="00B955DA">
        <w:rPr>
          <w:sz w:val="22"/>
          <w:szCs w:val="22"/>
          <w:lang w:val="es-UY"/>
        </w:rPr>
        <w:t>, en calidad de beneficiarios (la “</w:t>
      </w:r>
      <w:r w:rsidRPr="00B955DA">
        <w:rPr>
          <w:sz w:val="22"/>
          <w:szCs w:val="22"/>
          <w:u w:val="single"/>
          <w:lang w:val="es-UY"/>
        </w:rPr>
        <w:t>Cesión Fiduciaria</w:t>
      </w:r>
      <w:r w:rsidR="00BB7DD0" w:rsidRPr="00B955DA">
        <w:rPr>
          <w:sz w:val="22"/>
          <w:szCs w:val="22"/>
          <w:lang w:val="es-UY"/>
        </w:rPr>
        <w:t xml:space="preserve">”, y junto con la Prenda de Acciones, </w:t>
      </w:r>
      <w:r w:rsidRPr="00B955DA">
        <w:rPr>
          <w:sz w:val="22"/>
          <w:szCs w:val="22"/>
          <w:lang w:val="es-AR"/>
        </w:rPr>
        <w:t>las “</w:t>
      </w:r>
      <w:r w:rsidRPr="00B955DA">
        <w:rPr>
          <w:sz w:val="22"/>
          <w:szCs w:val="22"/>
          <w:u w:val="single"/>
          <w:lang w:val="es-AR"/>
        </w:rPr>
        <w:t>Garantías</w:t>
      </w:r>
      <w:r w:rsidRPr="00B955DA">
        <w:rPr>
          <w:sz w:val="22"/>
          <w:szCs w:val="22"/>
          <w:lang w:val="es-AR"/>
        </w:rPr>
        <w:t xml:space="preserve">”), </w:t>
      </w:r>
      <w:r w:rsidR="00BB7DD0" w:rsidRPr="00B955DA">
        <w:rPr>
          <w:sz w:val="22"/>
          <w:szCs w:val="22"/>
          <w:lang w:val="es-AR"/>
        </w:rPr>
        <w:t xml:space="preserve">el </w:t>
      </w:r>
      <w:r w:rsidR="00D10C9F" w:rsidRPr="00B955DA">
        <w:rPr>
          <w:sz w:val="22"/>
          <w:szCs w:val="22"/>
          <w:lang w:val="es-AR"/>
        </w:rPr>
        <w:t>Contrato de Financiamiento</w:t>
      </w:r>
      <w:r w:rsidR="00BB7DD0" w:rsidRPr="00B955DA">
        <w:rPr>
          <w:sz w:val="22"/>
          <w:szCs w:val="22"/>
          <w:lang w:val="es-AR"/>
        </w:rPr>
        <w:t xml:space="preserve"> será garantizado por las Garantías a través de </w:t>
      </w:r>
      <w:r w:rsidR="00EA4CFB" w:rsidRPr="00B955DA">
        <w:rPr>
          <w:sz w:val="22"/>
          <w:szCs w:val="22"/>
          <w:lang w:val="es-ES"/>
        </w:rPr>
        <w:t xml:space="preserve">una </w:t>
      </w:r>
      <w:r w:rsidR="00B44AC5" w:rsidRPr="00B955DA">
        <w:rPr>
          <w:sz w:val="22"/>
          <w:szCs w:val="22"/>
          <w:lang w:val="es-ES"/>
        </w:rPr>
        <w:t xml:space="preserve">enmienda a </w:t>
      </w:r>
      <w:r w:rsidR="00440602" w:rsidRPr="00B955DA">
        <w:rPr>
          <w:sz w:val="22"/>
          <w:szCs w:val="22"/>
          <w:lang w:val="es-ES"/>
        </w:rPr>
        <w:t xml:space="preserve">la </w:t>
      </w:r>
      <w:r w:rsidR="00113A42" w:rsidRPr="00B955DA">
        <w:rPr>
          <w:sz w:val="22"/>
          <w:szCs w:val="22"/>
          <w:lang w:val="es-ES"/>
        </w:rPr>
        <w:t>Cesión Fiduciaria</w:t>
      </w:r>
      <w:r w:rsidR="00BB7DD0" w:rsidRPr="00B955DA">
        <w:rPr>
          <w:sz w:val="22"/>
          <w:szCs w:val="22"/>
          <w:lang w:val="es-ES"/>
        </w:rPr>
        <w:t xml:space="preserve"> y una</w:t>
      </w:r>
      <w:r w:rsidR="00440602" w:rsidRPr="00B955DA">
        <w:rPr>
          <w:sz w:val="22"/>
          <w:szCs w:val="22"/>
          <w:lang w:val="es-ES"/>
        </w:rPr>
        <w:t xml:space="preserve"> </w:t>
      </w:r>
      <w:r w:rsidR="00B44AC5" w:rsidRPr="00B955DA">
        <w:rPr>
          <w:sz w:val="22"/>
          <w:szCs w:val="22"/>
          <w:lang w:val="es-ES"/>
        </w:rPr>
        <w:t xml:space="preserve">enmienda a la </w:t>
      </w:r>
      <w:r w:rsidR="00113A42" w:rsidRPr="00B955DA">
        <w:rPr>
          <w:sz w:val="22"/>
          <w:szCs w:val="22"/>
          <w:lang w:val="es-ES"/>
        </w:rPr>
        <w:t>Prenda de Acciones</w:t>
      </w:r>
      <w:r w:rsidR="00BB7DD0" w:rsidRPr="00B955DA">
        <w:rPr>
          <w:sz w:val="22"/>
          <w:szCs w:val="22"/>
          <w:lang w:val="es-ES"/>
        </w:rPr>
        <w:t>, como así también por el</w:t>
      </w:r>
      <w:r w:rsidR="00B71A72" w:rsidRPr="00B955DA">
        <w:rPr>
          <w:sz w:val="22"/>
          <w:szCs w:val="22"/>
          <w:lang w:val="es-ES"/>
        </w:rPr>
        <w:t xml:space="preserve"> otorgamiento de pagarés</w:t>
      </w:r>
      <w:r w:rsidR="00D10C9F" w:rsidRPr="00B955DA">
        <w:rPr>
          <w:sz w:val="22"/>
          <w:szCs w:val="22"/>
          <w:lang w:val="es-ES"/>
        </w:rPr>
        <w:t xml:space="preserve"> en favor de los A</w:t>
      </w:r>
      <w:r w:rsidR="00BB7DD0" w:rsidRPr="00B955DA">
        <w:rPr>
          <w:sz w:val="22"/>
          <w:szCs w:val="22"/>
          <w:lang w:val="es-ES"/>
        </w:rPr>
        <w:t>creedores</w:t>
      </w:r>
      <w:r w:rsidR="00440602" w:rsidRPr="00B955DA">
        <w:rPr>
          <w:sz w:val="22"/>
          <w:szCs w:val="22"/>
          <w:lang w:val="es-ES"/>
        </w:rPr>
        <w:t>.</w:t>
      </w:r>
    </w:p>
    <w:p w14:paraId="41BDC451" w14:textId="1C802651" w:rsidR="00440602" w:rsidRPr="00B955DA" w:rsidRDefault="00D10C9F" w:rsidP="00B955DA">
      <w:pPr>
        <w:spacing w:before="120" w:after="120" w:line="320" w:lineRule="exact"/>
        <w:ind w:firstLine="708"/>
        <w:jc w:val="both"/>
        <w:rPr>
          <w:sz w:val="22"/>
          <w:szCs w:val="22"/>
          <w:lang w:val="es-ES"/>
        </w:rPr>
      </w:pPr>
      <w:r w:rsidRPr="00B955DA">
        <w:rPr>
          <w:sz w:val="22"/>
          <w:szCs w:val="22"/>
          <w:lang w:val="es-ES"/>
        </w:rPr>
        <w:t>Por último, se informa que l</w:t>
      </w:r>
      <w:r w:rsidR="00440602" w:rsidRPr="00B955DA">
        <w:rPr>
          <w:sz w:val="22"/>
          <w:szCs w:val="22"/>
          <w:lang w:val="es-ES"/>
        </w:rPr>
        <w:t>os términos y condiciones del Contrato de Financiamiento y de las Garantías han sido considerados razonables y ajustados a las condiciones de mercado por el Comité de Auditoría de la Sociedad.</w:t>
      </w:r>
    </w:p>
    <w:p w14:paraId="194133D9" w14:textId="7BB8CBA9" w:rsidR="00C13CB6" w:rsidRDefault="00C13CB6" w:rsidP="00B955DA">
      <w:pPr>
        <w:spacing w:before="120" w:after="120" w:line="320" w:lineRule="exact"/>
        <w:ind w:firstLine="708"/>
        <w:jc w:val="both"/>
        <w:rPr>
          <w:sz w:val="22"/>
          <w:szCs w:val="22"/>
          <w:lang w:val="es-ES"/>
        </w:rPr>
      </w:pPr>
      <w:r w:rsidRPr="00B955DA">
        <w:rPr>
          <w:sz w:val="22"/>
          <w:szCs w:val="22"/>
          <w:lang w:val="es-ES"/>
        </w:rPr>
        <w:t>Sin otro particular, saludo a ustedes atentamente.</w:t>
      </w:r>
    </w:p>
    <w:p w14:paraId="7B6A1717" w14:textId="77777777" w:rsidR="00B955DA" w:rsidRPr="00B955DA" w:rsidRDefault="00B955DA" w:rsidP="00B955DA">
      <w:pPr>
        <w:spacing w:before="120" w:after="120" w:line="320" w:lineRule="exact"/>
        <w:ind w:firstLine="708"/>
        <w:jc w:val="both"/>
        <w:rPr>
          <w:sz w:val="22"/>
          <w:szCs w:val="22"/>
          <w:lang w:val="es-ES"/>
        </w:rPr>
      </w:pPr>
    </w:p>
    <w:p w14:paraId="63DC8D15" w14:textId="77777777" w:rsidR="00C13CB6" w:rsidRPr="00B955DA" w:rsidRDefault="00C13CB6" w:rsidP="00C13CB6">
      <w:pPr>
        <w:spacing w:line="360" w:lineRule="auto"/>
        <w:rPr>
          <w:sz w:val="22"/>
          <w:szCs w:val="22"/>
          <w:lang w:val="es-AR"/>
        </w:rPr>
      </w:pPr>
      <w:r w:rsidRPr="00B955DA">
        <w:rPr>
          <w:sz w:val="22"/>
          <w:szCs w:val="22"/>
          <w:lang w:val="es-AR"/>
        </w:rPr>
        <w:t>__________________________</w:t>
      </w:r>
    </w:p>
    <w:p w14:paraId="1F1D401D" w14:textId="13E1F318" w:rsidR="00C13CB6" w:rsidRPr="00B955DA" w:rsidRDefault="00B955DA" w:rsidP="00C13CB6">
      <w:pPr>
        <w:rPr>
          <w:bCs/>
          <w:sz w:val="22"/>
          <w:szCs w:val="22"/>
          <w:lang w:val="es-AR"/>
        </w:rPr>
      </w:pPr>
      <w:r>
        <w:rPr>
          <w:sz w:val="22"/>
          <w:szCs w:val="22"/>
          <w:lang w:val="es-ES"/>
        </w:rPr>
        <w:t>Daniel Antúnez</w:t>
      </w:r>
    </w:p>
    <w:p w14:paraId="40315813" w14:textId="77777777" w:rsidR="00C13CB6" w:rsidRPr="00B955DA" w:rsidRDefault="00C13CB6" w:rsidP="00C13CB6">
      <w:pPr>
        <w:rPr>
          <w:i/>
          <w:sz w:val="22"/>
          <w:szCs w:val="22"/>
          <w:lang w:val="es-AR"/>
        </w:rPr>
      </w:pPr>
      <w:r w:rsidRPr="00B955DA">
        <w:rPr>
          <w:i/>
          <w:sz w:val="22"/>
          <w:szCs w:val="22"/>
          <w:lang w:val="es-AR"/>
        </w:rPr>
        <w:t xml:space="preserve">Responsable de </w:t>
      </w:r>
      <w:r w:rsidR="00D10C9F" w:rsidRPr="00B955DA">
        <w:rPr>
          <w:i/>
          <w:sz w:val="22"/>
          <w:szCs w:val="22"/>
          <w:lang w:val="es-AR"/>
        </w:rPr>
        <w:t xml:space="preserve">Relaciones </w:t>
      </w:r>
    </w:p>
    <w:p w14:paraId="400CABF1" w14:textId="77777777" w:rsidR="00C13CB6" w:rsidRPr="00B955DA" w:rsidRDefault="00C13CB6" w:rsidP="00D10C9F">
      <w:pPr>
        <w:rPr>
          <w:sz w:val="22"/>
          <w:szCs w:val="22"/>
          <w:lang w:val="es-AR"/>
        </w:rPr>
      </w:pPr>
      <w:r w:rsidRPr="00B955DA">
        <w:rPr>
          <w:i/>
          <w:sz w:val="22"/>
          <w:szCs w:val="22"/>
          <w:lang w:val="es-AR"/>
        </w:rPr>
        <w:t>con el Mercado</w:t>
      </w:r>
      <w:r w:rsidR="00D10C9F" w:rsidRPr="00B955DA">
        <w:rPr>
          <w:i/>
          <w:sz w:val="22"/>
          <w:szCs w:val="22"/>
          <w:lang w:val="es-AR"/>
        </w:rPr>
        <w:t xml:space="preserve"> de TGLT S.A.</w:t>
      </w:r>
      <w:r w:rsidR="00286D54" w:rsidRPr="00B955DA">
        <w:rPr>
          <w:sz w:val="22"/>
          <w:szCs w:val="22"/>
          <w:lang w:val="es-AR"/>
        </w:rPr>
        <w:t xml:space="preserve"> </w:t>
      </w:r>
    </w:p>
    <w:sectPr w:rsidR="00C13CB6" w:rsidRPr="00B955DA" w:rsidSect="00B955DA">
      <w:headerReference w:type="default" r:id="rId8"/>
      <w:footerReference w:type="default" r:id="rId9"/>
      <w:pgSz w:w="11906" w:h="16838" w:code="9"/>
      <w:pgMar w:top="1418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BD68" w14:textId="77777777" w:rsidR="00F233EF" w:rsidRDefault="00F233EF" w:rsidP="009A4EF2">
      <w:r>
        <w:separator/>
      </w:r>
    </w:p>
  </w:endnote>
  <w:endnote w:type="continuationSeparator" w:id="0">
    <w:p w14:paraId="01AB5F82" w14:textId="77777777" w:rsidR="00F233EF" w:rsidRDefault="00F233EF" w:rsidP="009A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CE26" w14:textId="77777777" w:rsidR="00430E1F" w:rsidRPr="008C4A54" w:rsidRDefault="00430E1F" w:rsidP="00430E1F">
    <w:pPr>
      <w:pStyle w:val="Piedepgina"/>
      <w:tabs>
        <w:tab w:val="clear" w:pos="4320"/>
        <w:tab w:val="clear" w:pos="8640"/>
      </w:tabs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0AA0" w14:textId="77777777" w:rsidR="00F233EF" w:rsidRDefault="00F233EF" w:rsidP="009A4EF2">
      <w:r>
        <w:separator/>
      </w:r>
    </w:p>
  </w:footnote>
  <w:footnote w:type="continuationSeparator" w:id="0">
    <w:p w14:paraId="5330048E" w14:textId="77777777" w:rsidR="00F233EF" w:rsidRDefault="00F233EF" w:rsidP="009A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EB76" w14:textId="77777777" w:rsidR="00D10C9F" w:rsidRDefault="00D10C9F" w:rsidP="00D10C9F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0C1FF259" wp14:editId="40A0E5B9">
          <wp:extent cx="933450" cy="457200"/>
          <wp:effectExtent l="0" t="0" r="0" b="0"/>
          <wp:docPr id="33" name="Imagen 33" descr="Logo TG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TG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464"/>
    <w:multiLevelType w:val="hybridMultilevel"/>
    <w:tmpl w:val="4DCE42DC"/>
    <w:lvl w:ilvl="0" w:tplc="554A4B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247469"/>
    <w:multiLevelType w:val="hybridMultilevel"/>
    <w:tmpl w:val="A8B6D342"/>
    <w:lvl w:ilvl="0" w:tplc="1C2E58D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B6"/>
    <w:rsid w:val="000631FE"/>
    <w:rsid w:val="000705E2"/>
    <w:rsid w:val="00110382"/>
    <w:rsid w:val="001121E2"/>
    <w:rsid w:val="00113A42"/>
    <w:rsid w:val="00117B4B"/>
    <w:rsid w:val="0012371C"/>
    <w:rsid w:val="001C64F7"/>
    <w:rsid w:val="001E7246"/>
    <w:rsid w:val="001F3492"/>
    <w:rsid w:val="002041AB"/>
    <w:rsid w:val="00245AE1"/>
    <w:rsid w:val="002719B5"/>
    <w:rsid w:val="00271D17"/>
    <w:rsid w:val="002738D4"/>
    <w:rsid w:val="00286D54"/>
    <w:rsid w:val="003008FC"/>
    <w:rsid w:val="00312175"/>
    <w:rsid w:val="00340665"/>
    <w:rsid w:val="003862C9"/>
    <w:rsid w:val="00387C1B"/>
    <w:rsid w:val="003E4C44"/>
    <w:rsid w:val="003E5459"/>
    <w:rsid w:val="00406FCB"/>
    <w:rsid w:val="00415C1D"/>
    <w:rsid w:val="00430E1F"/>
    <w:rsid w:val="00440602"/>
    <w:rsid w:val="004A2682"/>
    <w:rsid w:val="004F16E4"/>
    <w:rsid w:val="00516EE1"/>
    <w:rsid w:val="005653C8"/>
    <w:rsid w:val="005B02E6"/>
    <w:rsid w:val="00605775"/>
    <w:rsid w:val="0064736B"/>
    <w:rsid w:val="00661478"/>
    <w:rsid w:val="00676A01"/>
    <w:rsid w:val="0068427F"/>
    <w:rsid w:val="00691F4B"/>
    <w:rsid w:val="00726D52"/>
    <w:rsid w:val="007F755F"/>
    <w:rsid w:val="008105CA"/>
    <w:rsid w:val="00822496"/>
    <w:rsid w:val="00842B26"/>
    <w:rsid w:val="00850BA8"/>
    <w:rsid w:val="00873242"/>
    <w:rsid w:val="00880768"/>
    <w:rsid w:val="008A03A8"/>
    <w:rsid w:val="008A1369"/>
    <w:rsid w:val="008B3D3D"/>
    <w:rsid w:val="0091413F"/>
    <w:rsid w:val="00971CBC"/>
    <w:rsid w:val="009937FA"/>
    <w:rsid w:val="009A4EF2"/>
    <w:rsid w:val="009B443B"/>
    <w:rsid w:val="009B5B8B"/>
    <w:rsid w:val="009F6B0C"/>
    <w:rsid w:val="00A16569"/>
    <w:rsid w:val="00A873AD"/>
    <w:rsid w:val="00AA122A"/>
    <w:rsid w:val="00AD1FE7"/>
    <w:rsid w:val="00B23AE5"/>
    <w:rsid w:val="00B44AC5"/>
    <w:rsid w:val="00B71A72"/>
    <w:rsid w:val="00B955DA"/>
    <w:rsid w:val="00BB2AA4"/>
    <w:rsid w:val="00BB7DD0"/>
    <w:rsid w:val="00BD6D3F"/>
    <w:rsid w:val="00C02214"/>
    <w:rsid w:val="00C13CB6"/>
    <w:rsid w:val="00C54901"/>
    <w:rsid w:val="00C56A96"/>
    <w:rsid w:val="00C8099E"/>
    <w:rsid w:val="00C80CE9"/>
    <w:rsid w:val="00C93033"/>
    <w:rsid w:val="00CA7117"/>
    <w:rsid w:val="00CC39C2"/>
    <w:rsid w:val="00CE0CB8"/>
    <w:rsid w:val="00CF2B26"/>
    <w:rsid w:val="00D01068"/>
    <w:rsid w:val="00D10C9F"/>
    <w:rsid w:val="00D160E1"/>
    <w:rsid w:val="00D24CC2"/>
    <w:rsid w:val="00D33CF3"/>
    <w:rsid w:val="00DD3855"/>
    <w:rsid w:val="00DE0A43"/>
    <w:rsid w:val="00DF0E7A"/>
    <w:rsid w:val="00E223FB"/>
    <w:rsid w:val="00E41E7B"/>
    <w:rsid w:val="00E600ED"/>
    <w:rsid w:val="00EA4CFB"/>
    <w:rsid w:val="00EE7944"/>
    <w:rsid w:val="00F233EF"/>
    <w:rsid w:val="00F25464"/>
    <w:rsid w:val="00F40DB4"/>
    <w:rsid w:val="00F51A62"/>
    <w:rsid w:val="00F6393A"/>
    <w:rsid w:val="00F70E0C"/>
    <w:rsid w:val="00FA2DA7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09F4"/>
  <w15:docId w15:val="{F652A18C-FB6F-4494-9852-2717406D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"/>
    <w:qFormat/>
    <w:rsid w:val="00C13CB6"/>
    <w:pPr>
      <w:keepNext/>
      <w:suppressAutoHyphens/>
      <w:jc w:val="right"/>
      <w:outlineLvl w:val="1"/>
    </w:pPr>
    <w:rPr>
      <w:rFonts w:ascii="Palatino" w:hAnsi="Palatino"/>
      <w:u w:val="single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C13CB6"/>
    <w:pPr>
      <w:keepNext/>
      <w:suppressAutoHyphens/>
      <w:jc w:val="both"/>
      <w:outlineLvl w:val="2"/>
    </w:pPr>
    <w:rPr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3CB6"/>
    <w:rPr>
      <w:rFonts w:ascii="Palatino" w:eastAsia="Times New Roman" w:hAnsi="Palatino" w:cs="Times New Roman"/>
      <w:sz w:val="24"/>
      <w:szCs w:val="24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rsid w:val="00C13CB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C13CB6"/>
    <w:pPr>
      <w:tabs>
        <w:tab w:val="center" w:pos="4320"/>
        <w:tab w:val="right" w:pos="8640"/>
      </w:tabs>
      <w:suppressAutoHyphens/>
    </w:pPr>
    <w:rPr>
      <w:rFonts w:ascii="Times" w:hAnsi="Times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CB6"/>
    <w:rPr>
      <w:rFonts w:ascii="Times" w:eastAsia="Times New Roman" w:hAnsi="Times" w:cs="Times New Roman"/>
      <w:sz w:val="24"/>
      <w:szCs w:val="20"/>
      <w:lang w:val="en-US" w:eastAsia="ar-SA"/>
    </w:rPr>
  </w:style>
  <w:style w:type="paragraph" w:styleId="Textoindependiente">
    <w:name w:val="Body Text"/>
    <w:aliases w:val="body text,bt,Texto independienteR"/>
    <w:basedOn w:val="Normal"/>
    <w:link w:val="TextoindependienteCar"/>
    <w:rsid w:val="00C13CB6"/>
    <w:pPr>
      <w:jc w:val="both"/>
    </w:pPr>
    <w:rPr>
      <w:lang w:val="es-ES"/>
    </w:rPr>
  </w:style>
  <w:style w:type="character" w:customStyle="1" w:styleId="TextoindependienteCar">
    <w:name w:val="Texto independiente Car"/>
    <w:aliases w:val="body text Car,bt Car,Texto independienteR Car"/>
    <w:basedOn w:val="Fuentedeprrafopredeter"/>
    <w:link w:val="Textoindependiente"/>
    <w:rsid w:val="00C13CB6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3CB6"/>
    <w:pPr>
      <w:spacing w:after="120"/>
      <w:jc w:val="both"/>
    </w:pPr>
    <w:rPr>
      <w:rFonts w:eastAsia="Calibri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3CB6"/>
    <w:rPr>
      <w:rFonts w:ascii="Times New Roman" w:eastAsia="Calibri" w:hAnsi="Times New Roman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CF3"/>
    <w:rPr>
      <w:rFonts w:ascii="Tahoma" w:eastAsia="Times New Roman" w:hAnsi="Tahoma" w:cs="Tahoma"/>
      <w:sz w:val="16"/>
      <w:szCs w:val="16"/>
      <w:lang w:val="en-GB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76A0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76A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msonormal">
    <w:name w:val="x_msonormal"/>
    <w:basedOn w:val="Normal"/>
    <w:rsid w:val="00C80CE9"/>
    <w:pPr>
      <w:jc w:val="left"/>
    </w:pPr>
    <w:rPr>
      <w:rFonts w:eastAsiaTheme="minorHAnsi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9B443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546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06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06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4060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10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C9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6270-E0B5-469A-B97E-6E1DB062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Beccar Varela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mtutzer</dc:creator>
  <cp:lastModifiedBy>Karina Lopez</cp:lastModifiedBy>
  <cp:revision>2</cp:revision>
  <cp:lastPrinted>2020-06-24T00:07:00Z</cp:lastPrinted>
  <dcterms:created xsi:type="dcterms:W3CDTF">2021-11-05T21:42:00Z</dcterms:created>
  <dcterms:modified xsi:type="dcterms:W3CDTF">2021-11-05T21:42:00Z</dcterms:modified>
</cp:coreProperties>
</file>